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311" w:rsidRPr="00956F87" w:rsidRDefault="00130311" w:rsidP="00956F87">
      <w:pPr>
        <w:tabs>
          <w:tab w:val="left" w:pos="4932"/>
        </w:tabs>
        <w:spacing w:after="0" w:line="240" w:lineRule="auto"/>
        <w:jc w:val="both"/>
        <w:rPr>
          <w:b/>
          <w:sz w:val="28"/>
          <w:szCs w:val="28"/>
        </w:rPr>
      </w:pPr>
    </w:p>
    <w:p w:rsidR="00130311" w:rsidRPr="00956F87" w:rsidRDefault="00130311" w:rsidP="00956F87">
      <w:pPr>
        <w:tabs>
          <w:tab w:val="left" w:pos="4932"/>
        </w:tabs>
        <w:spacing w:after="0" w:line="240" w:lineRule="auto"/>
        <w:jc w:val="center"/>
        <w:rPr>
          <w:b/>
          <w:sz w:val="28"/>
          <w:szCs w:val="28"/>
        </w:rPr>
      </w:pPr>
      <w:r w:rsidRPr="00956F87">
        <w:rPr>
          <w:b/>
          <w:sz w:val="28"/>
          <w:szCs w:val="28"/>
        </w:rPr>
        <w:t>THE REPUBLIC OF UGANDA</w:t>
      </w:r>
    </w:p>
    <w:p w:rsidR="00130311" w:rsidRPr="00956F87" w:rsidRDefault="00130311" w:rsidP="00956F87">
      <w:pPr>
        <w:tabs>
          <w:tab w:val="left" w:pos="4932"/>
        </w:tabs>
        <w:spacing w:after="0" w:line="240" w:lineRule="auto"/>
        <w:jc w:val="center"/>
        <w:rPr>
          <w:b/>
          <w:sz w:val="28"/>
          <w:szCs w:val="28"/>
        </w:rPr>
      </w:pPr>
      <w:r w:rsidRPr="00956F87">
        <w:rPr>
          <w:b/>
          <w:sz w:val="28"/>
          <w:szCs w:val="28"/>
        </w:rPr>
        <w:t>THE INDUSTRIAL COURT OF UGANDA HOLDEN AT JINJA</w:t>
      </w:r>
    </w:p>
    <w:p w:rsidR="00130311" w:rsidRPr="00956F87" w:rsidRDefault="00130311" w:rsidP="00956F87">
      <w:pPr>
        <w:tabs>
          <w:tab w:val="left" w:pos="4932"/>
        </w:tabs>
        <w:spacing w:after="0" w:line="240" w:lineRule="auto"/>
        <w:jc w:val="center"/>
        <w:rPr>
          <w:b/>
          <w:sz w:val="28"/>
          <w:szCs w:val="28"/>
        </w:rPr>
      </w:pPr>
      <w:r w:rsidRPr="00956F87">
        <w:rPr>
          <w:sz w:val="28"/>
          <w:szCs w:val="28"/>
        </w:rPr>
        <w:t xml:space="preserve">LABOUR DISPUTE REFERENCE. No. </w:t>
      </w:r>
      <w:r w:rsidRPr="00956F87">
        <w:rPr>
          <w:rFonts w:cstheme="minorHAnsi"/>
          <w:sz w:val="28"/>
          <w:szCs w:val="28"/>
        </w:rPr>
        <w:t>75/2017</w:t>
      </w:r>
    </w:p>
    <w:p w:rsidR="00130311" w:rsidRPr="00956F87" w:rsidRDefault="00130311" w:rsidP="00956F87">
      <w:pPr>
        <w:tabs>
          <w:tab w:val="left" w:pos="4932"/>
        </w:tabs>
        <w:spacing w:after="0" w:line="240" w:lineRule="auto"/>
        <w:jc w:val="center"/>
        <w:rPr>
          <w:rFonts w:cstheme="minorHAnsi"/>
          <w:sz w:val="28"/>
          <w:szCs w:val="28"/>
        </w:rPr>
      </w:pPr>
      <w:r w:rsidRPr="00956F87">
        <w:rPr>
          <w:b/>
          <w:sz w:val="28"/>
          <w:szCs w:val="28"/>
        </w:rPr>
        <w:t xml:space="preserve">(Arising from Labour Dispute No. </w:t>
      </w:r>
      <w:r w:rsidRPr="00956F87">
        <w:rPr>
          <w:rFonts w:cstheme="minorHAnsi"/>
          <w:sz w:val="28"/>
          <w:szCs w:val="28"/>
        </w:rPr>
        <w:t>246/2016</w:t>
      </w:r>
      <w:r w:rsidRPr="00956F87">
        <w:rPr>
          <w:rFonts w:cstheme="minorHAnsi"/>
          <w:b/>
          <w:sz w:val="28"/>
          <w:szCs w:val="28"/>
        </w:rPr>
        <w:t>)</w:t>
      </w:r>
    </w:p>
    <w:p w:rsidR="00130311" w:rsidRPr="00956F87" w:rsidRDefault="00130311" w:rsidP="00956F87">
      <w:pPr>
        <w:tabs>
          <w:tab w:val="left" w:pos="4932"/>
        </w:tabs>
        <w:spacing w:after="0" w:line="240" w:lineRule="auto"/>
        <w:jc w:val="center"/>
        <w:rPr>
          <w:b/>
          <w:sz w:val="28"/>
          <w:szCs w:val="28"/>
        </w:rPr>
      </w:pPr>
    </w:p>
    <w:p w:rsidR="00130311" w:rsidRPr="00956F87" w:rsidRDefault="00130311" w:rsidP="00956F87">
      <w:pPr>
        <w:tabs>
          <w:tab w:val="left" w:pos="4932"/>
        </w:tabs>
        <w:spacing w:after="0" w:line="240" w:lineRule="auto"/>
        <w:jc w:val="center"/>
        <w:rPr>
          <w:b/>
          <w:sz w:val="28"/>
          <w:szCs w:val="28"/>
        </w:rPr>
      </w:pPr>
      <w:r w:rsidRPr="00956F87">
        <w:rPr>
          <w:b/>
          <w:sz w:val="28"/>
          <w:szCs w:val="28"/>
        </w:rPr>
        <w:t>BETWEEN</w:t>
      </w:r>
    </w:p>
    <w:p w:rsidR="00130311" w:rsidRPr="00956F87" w:rsidRDefault="00130311" w:rsidP="00956F87">
      <w:pPr>
        <w:tabs>
          <w:tab w:val="left" w:pos="4932"/>
        </w:tabs>
        <w:spacing w:after="0" w:line="240" w:lineRule="auto"/>
        <w:jc w:val="center"/>
        <w:rPr>
          <w:b/>
          <w:sz w:val="28"/>
          <w:szCs w:val="28"/>
        </w:rPr>
      </w:pPr>
    </w:p>
    <w:p w:rsidR="00130311" w:rsidRPr="00956F87" w:rsidRDefault="00130311" w:rsidP="00956F87">
      <w:pPr>
        <w:tabs>
          <w:tab w:val="left" w:pos="4932"/>
        </w:tabs>
        <w:spacing w:line="240" w:lineRule="auto"/>
        <w:jc w:val="center"/>
        <w:rPr>
          <w:b/>
          <w:sz w:val="28"/>
          <w:szCs w:val="28"/>
        </w:rPr>
      </w:pPr>
      <w:r w:rsidRPr="00956F87">
        <w:rPr>
          <w:rFonts w:cstheme="minorHAnsi"/>
          <w:sz w:val="28"/>
          <w:szCs w:val="28"/>
        </w:rPr>
        <w:t xml:space="preserve">KITAKA ERISMUS............................................ </w:t>
      </w:r>
      <w:r w:rsidRPr="00956F87">
        <w:rPr>
          <w:b/>
          <w:sz w:val="28"/>
          <w:szCs w:val="28"/>
        </w:rPr>
        <w:t>CLAIMANT</w:t>
      </w:r>
    </w:p>
    <w:p w:rsidR="00130311" w:rsidRPr="00956F87" w:rsidRDefault="00130311" w:rsidP="00956F87">
      <w:pPr>
        <w:tabs>
          <w:tab w:val="left" w:pos="4932"/>
        </w:tabs>
        <w:spacing w:after="0" w:line="240" w:lineRule="auto"/>
        <w:jc w:val="center"/>
        <w:rPr>
          <w:b/>
          <w:sz w:val="28"/>
          <w:szCs w:val="28"/>
        </w:rPr>
      </w:pPr>
      <w:r w:rsidRPr="00956F87">
        <w:rPr>
          <w:b/>
          <w:sz w:val="28"/>
          <w:szCs w:val="28"/>
        </w:rPr>
        <w:t>AND</w:t>
      </w:r>
    </w:p>
    <w:p w:rsidR="00130311" w:rsidRPr="00956F87" w:rsidRDefault="00130311" w:rsidP="00956F87">
      <w:pPr>
        <w:tabs>
          <w:tab w:val="left" w:pos="4932"/>
        </w:tabs>
        <w:spacing w:after="0" w:line="240" w:lineRule="auto"/>
        <w:jc w:val="center"/>
        <w:rPr>
          <w:b/>
          <w:sz w:val="28"/>
          <w:szCs w:val="28"/>
        </w:rPr>
      </w:pPr>
    </w:p>
    <w:p w:rsidR="00130311" w:rsidRPr="00956F87" w:rsidRDefault="00130311" w:rsidP="00956F87">
      <w:pPr>
        <w:tabs>
          <w:tab w:val="left" w:pos="4932"/>
        </w:tabs>
        <w:spacing w:line="240" w:lineRule="auto"/>
        <w:jc w:val="center"/>
        <w:rPr>
          <w:rFonts w:cstheme="minorHAnsi"/>
          <w:sz w:val="28"/>
          <w:szCs w:val="28"/>
        </w:rPr>
      </w:pPr>
      <w:r w:rsidRPr="00956F87">
        <w:rPr>
          <w:rFonts w:cstheme="minorHAnsi"/>
          <w:sz w:val="28"/>
          <w:szCs w:val="28"/>
        </w:rPr>
        <w:t>AIM DISTRIBUTORS.....................</w:t>
      </w:r>
      <w:r w:rsidRPr="00956F87">
        <w:rPr>
          <w:b/>
          <w:sz w:val="28"/>
          <w:szCs w:val="28"/>
        </w:rPr>
        <w:t xml:space="preserve">  RESPONDENT</w:t>
      </w:r>
    </w:p>
    <w:p w:rsidR="006A0578" w:rsidRPr="00956F87" w:rsidRDefault="0058760E" w:rsidP="00956F87">
      <w:pPr>
        <w:jc w:val="center"/>
        <w:rPr>
          <w:sz w:val="28"/>
          <w:szCs w:val="28"/>
        </w:rPr>
      </w:pPr>
    </w:p>
    <w:p w:rsidR="00956F87" w:rsidRPr="00956F87" w:rsidRDefault="00956F87" w:rsidP="00956F87">
      <w:pPr>
        <w:jc w:val="both"/>
        <w:rPr>
          <w:b/>
          <w:sz w:val="28"/>
          <w:szCs w:val="28"/>
        </w:rPr>
      </w:pPr>
      <w:r w:rsidRPr="00956F87">
        <w:rPr>
          <w:b/>
          <w:sz w:val="28"/>
          <w:szCs w:val="28"/>
        </w:rPr>
        <w:t xml:space="preserve">BEFORE </w:t>
      </w:r>
    </w:p>
    <w:p w:rsidR="00956F87" w:rsidRPr="00956F87" w:rsidRDefault="00956F87" w:rsidP="00956F87">
      <w:pPr>
        <w:pStyle w:val="ListParagraph"/>
        <w:numPr>
          <w:ilvl w:val="0"/>
          <w:numId w:val="3"/>
        </w:numPr>
        <w:spacing w:after="0" w:line="240" w:lineRule="auto"/>
        <w:jc w:val="both"/>
        <w:rPr>
          <w:sz w:val="28"/>
          <w:szCs w:val="28"/>
        </w:rPr>
      </w:pPr>
      <w:r w:rsidRPr="00956F87">
        <w:rPr>
          <w:sz w:val="28"/>
          <w:szCs w:val="28"/>
        </w:rPr>
        <w:t>The Hon. Chief Judge, Asaph  Ruhinda  Ntengye</w:t>
      </w:r>
    </w:p>
    <w:p w:rsidR="00956F87" w:rsidRPr="00956F87" w:rsidRDefault="00956F87" w:rsidP="00956F87">
      <w:pPr>
        <w:pStyle w:val="ListParagraph"/>
        <w:numPr>
          <w:ilvl w:val="0"/>
          <w:numId w:val="3"/>
        </w:numPr>
        <w:spacing w:after="0" w:line="240" w:lineRule="auto"/>
        <w:jc w:val="both"/>
        <w:rPr>
          <w:sz w:val="28"/>
          <w:szCs w:val="28"/>
        </w:rPr>
      </w:pPr>
      <w:r w:rsidRPr="00956F87">
        <w:rPr>
          <w:sz w:val="28"/>
          <w:szCs w:val="28"/>
        </w:rPr>
        <w:t xml:space="preserve">The Hon. Judge, Linda Lillian Tumusiime Mugisha </w:t>
      </w:r>
    </w:p>
    <w:p w:rsidR="00956F87" w:rsidRPr="00956F87" w:rsidRDefault="00956F87" w:rsidP="00956F87">
      <w:pPr>
        <w:jc w:val="both"/>
        <w:rPr>
          <w:b/>
          <w:sz w:val="28"/>
          <w:szCs w:val="28"/>
        </w:rPr>
      </w:pPr>
    </w:p>
    <w:p w:rsidR="00956F87" w:rsidRPr="00956F87" w:rsidRDefault="00956F87" w:rsidP="00956F87">
      <w:pPr>
        <w:jc w:val="both"/>
        <w:rPr>
          <w:b/>
          <w:sz w:val="28"/>
          <w:szCs w:val="28"/>
        </w:rPr>
      </w:pPr>
      <w:r w:rsidRPr="00956F87">
        <w:rPr>
          <w:b/>
          <w:sz w:val="28"/>
          <w:szCs w:val="28"/>
        </w:rPr>
        <w:t>PANELISTS</w:t>
      </w:r>
    </w:p>
    <w:p w:rsidR="00956F87" w:rsidRPr="00956F87" w:rsidRDefault="00956F87" w:rsidP="00956F87">
      <w:pPr>
        <w:pStyle w:val="ListParagraph"/>
        <w:numPr>
          <w:ilvl w:val="0"/>
          <w:numId w:val="4"/>
        </w:numPr>
        <w:spacing w:after="0" w:line="240" w:lineRule="auto"/>
        <w:jc w:val="both"/>
        <w:rPr>
          <w:sz w:val="28"/>
          <w:szCs w:val="28"/>
        </w:rPr>
      </w:pPr>
      <w:r w:rsidRPr="00956F87">
        <w:rPr>
          <w:sz w:val="28"/>
          <w:szCs w:val="28"/>
        </w:rPr>
        <w:t xml:space="preserve">Ms. Adrine Namara </w:t>
      </w:r>
    </w:p>
    <w:p w:rsidR="00956F87" w:rsidRPr="00956F87" w:rsidRDefault="00956F87" w:rsidP="00956F87">
      <w:pPr>
        <w:pStyle w:val="ListParagraph"/>
        <w:numPr>
          <w:ilvl w:val="0"/>
          <w:numId w:val="4"/>
        </w:numPr>
        <w:spacing w:after="0" w:line="240" w:lineRule="auto"/>
        <w:jc w:val="both"/>
        <w:rPr>
          <w:sz w:val="28"/>
          <w:szCs w:val="28"/>
        </w:rPr>
      </w:pPr>
      <w:r w:rsidRPr="00956F87">
        <w:rPr>
          <w:sz w:val="28"/>
          <w:szCs w:val="28"/>
        </w:rPr>
        <w:t>Mr. Micheal Matovu</w:t>
      </w:r>
    </w:p>
    <w:p w:rsidR="00956F87" w:rsidRPr="00956F87" w:rsidRDefault="00956F87" w:rsidP="00956F87">
      <w:pPr>
        <w:pStyle w:val="ListParagraph"/>
        <w:numPr>
          <w:ilvl w:val="0"/>
          <w:numId w:val="4"/>
        </w:numPr>
        <w:spacing w:after="0" w:line="240" w:lineRule="auto"/>
        <w:jc w:val="both"/>
        <w:rPr>
          <w:sz w:val="28"/>
          <w:szCs w:val="28"/>
        </w:rPr>
      </w:pPr>
      <w:r w:rsidRPr="00956F87">
        <w:rPr>
          <w:sz w:val="28"/>
          <w:szCs w:val="28"/>
        </w:rPr>
        <w:t>Ms. Susan Nabirye</w:t>
      </w:r>
    </w:p>
    <w:p w:rsidR="00130311" w:rsidRPr="00956F87" w:rsidRDefault="00130311" w:rsidP="00956F87">
      <w:pPr>
        <w:jc w:val="center"/>
        <w:rPr>
          <w:b/>
          <w:sz w:val="28"/>
          <w:szCs w:val="28"/>
          <w:u w:val="single"/>
        </w:rPr>
      </w:pPr>
      <w:r w:rsidRPr="00956F87">
        <w:rPr>
          <w:b/>
          <w:sz w:val="28"/>
          <w:szCs w:val="28"/>
          <w:u w:val="single"/>
        </w:rPr>
        <w:t>AWARD</w:t>
      </w:r>
    </w:p>
    <w:p w:rsidR="00130311" w:rsidRPr="00956F87" w:rsidRDefault="00130311" w:rsidP="00956F87">
      <w:pPr>
        <w:jc w:val="both"/>
        <w:rPr>
          <w:sz w:val="28"/>
          <w:szCs w:val="28"/>
        </w:rPr>
      </w:pPr>
      <w:r w:rsidRPr="00956F87">
        <w:rPr>
          <w:sz w:val="28"/>
          <w:szCs w:val="28"/>
        </w:rPr>
        <w:t>The claimant filed this claim for recovery of (</w:t>
      </w:r>
      <w:r w:rsidR="00693702">
        <w:rPr>
          <w:sz w:val="28"/>
          <w:szCs w:val="28"/>
        </w:rPr>
        <w:t>i</w:t>
      </w:r>
      <w:r w:rsidRPr="00956F87">
        <w:rPr>
          <w:sz w:val="28"/>
          <w:szCs w:val="28"/>
        </w:rPr>
        <w:t>nter alia) damages for unlawful termination of a contract of employment.</w:t>
      </w:r>
    </w:p>
    <w:p w:rsidR="00130311" w:rsidRPr="00956F87" w:rsidRDefault="00130311" w:rsidP="00956F87">
      <w:pPr>
        <w:jc w:val="both"/>
        <w:rPr>
          <w:sz w:val="28"/>
          <w:szCs w:val="28"/>
        </w:rPr>
      </w:pPr>
      <w:r w:rsidRPr="00956F87">
        <w:rPr>
          <w:sz w:val="28"/>
          <w:szCs w:val="28"/>
        </w:rPr>
        <w:t>It was not contested that the claimant was an employee of the respondent before the employment came to a halt.  What was conteste</w:t>
      </w:r>
      <w:r w:rsidR="00693702">
        <w:rPr>
          <w:sz w:val="28"/>
          <w:szCs w:val="28"/>
        </w:rPr>
        <w:t>d was the nature of employment a</w:t>
      </w:r>
      <w:r w:rsidRPr="00956F87">
        <w:rPr>
          <w:sz w:val="28"/>
          <w:szCs w:val="28"/>
        </w:rPr>
        <w:t>n</w:t>
      </w:r>
      <w:r w:rsidR="00693702">
        <w:rPr>
          <w:sz w:val="28"/>
          <w:szCs w:val="28"/>
        </w:rPr>
        <w:t>d</w:t>
      </w:r>
      <w:r w:rsidRPr="00956F87">
        <w:rPr>
          <w:sz w:val="28"/>
          <w:szCs w:val="28"/>
        </w:rPr>
        <w:t xml:space="preserve"> whether it was on a casual basis or on terms other than causal.</w:t>
      </w:r>
    </w:p>
    <w:p w:rsidR="00130311" w:rsidRDefault="00130311" w:rsidP="00956F87">
      <w:pPr>
        <w:jc w:val="both"/>
        <w:rPr>
          <w:sz w:val="28"/>
          <w:szCs w:val="28"/>
        </w:rPr>
      </w:pPr>
      <w:r w:rsidRPr="00956F87">
        <w:rPr>
          <w:sz w:val="28"/>
          <w:szCs w:val="28"/>
        </w:rPr>
        <w:t xml:space="preserve">The facts as we understand them are that the claimant was </w:t>
      </w:r>
      <w:r w:rsidR="00693702">
        <w:rPr>
          <w:sz w:val="28"/>
          <w:szCs w:val="28"/>
        </w:rPr>
        <w:t xml:space="preserve">an </w:t>
      </w:r>
      <w:r w:rsidRPr="00956F87">
        <w:rPr>
          <w:sz w:val="28"/>
          <w:szCs w:val="28"/>
        </w:rPr>
        <w:t>employe</w:t>
      </w:r>
      <w:r w:rsidR="00693702">
        <w:rPr>
          <w:sz w:val="28"/>
          <w:szCs w:val="28"/>
        </w:rPr>
        <w:t>e</w:t>
      </w:r>
      <w:r w:rsidRPr="00956F87">
        <w:rPr>
          <w:sz w:val="28"/>
          <w:szCs w:val="28"/>
        </w:rPr>
        <w:t xml:space="preserve"> at the Depot of the respondent.  According to him he was employed on an oral contract as a store keeper but according to the respondent he was a casual worker who would come to the Depot seeking for work and was paid on a daily basis as and when he got work to do.</w:t>
      </w:r>
    </w:p>
    <w:p w:rsidR="00956F87" w:rsidRPr="00956F87" w:rsidRDefault="00956F87" w:rsidP="00956F87">
      <w:pPr>
        <w:jc w:val="both"/>
        <w:rPr>
          <w:sz w:val="28"/>
          <w:szCs w:val="28"/>
        </w:rPr>
      </w:pPr>
    </w:p>
    <w:p w:rsidR="00130311" w:rsidRPr="00956F87" w:rsidRDefault="00130311" w:rsidP="00956F87">
      <w:pPr>
        <w:jc w:val="both"/>
        <w:rPr>
          <w:sz w:val="28"/>
          <w:szCs w:val="28"/>
        </w:rPr>
      </w:pPr>
      <w:r w:rsidRPr="00956F87">
        <w:rPr>
          <w:sz w:val="28"/>
          <w:szCs w:val="28"/>
        </w:rPr>
        <w:lastRenderedPageBreak/>
        <w:t xml:space="preserve">The issues for determination as agreed are:  </w:t>
      </w:r>
    </w:p>
    <w:p w:rsidR="00130311" w:rsidRPr="00956F87" w:rsidRDefault="00130311" w:rsidP="00956F87">
      <w:pPr>
        <w:pStyle w:val="ListParagraph"/>
        <w:numPr>
          <w:ilvl w:val="0"/>
          <w:numId w:val="1"/>
        </w:numPr>
        <w:jc w:val="both"/>
        <w:rPr>
          <w:sz w:val="28"/>
          <w:szCs w:val="28"/>
        </w:rPr>
      </w:pPr>
      <w:r w:rsidRPr="00956F87">
        <w:rPr>
          <w:sz w:val="28"/>
          <w:szCs w:val="28"/>
        </w:rPr>
        <w:t xml:space="preserve"> Whether the claimant was terminated  from work and </w:t>
      </w:r>
    </w:p>
    <w:p w:rsidR="00130311" w:rsidRPr="00956F87" w:rsidRDefault="00130311" w:rsidP="00956F87">
      <w:pPr>
        <w:pStyle w:val="ListParagraph"/>
        <w:numPr>
          <w:ilvl w:val="0"/>
          <w:numId w:val="1"/>
        </w:numPr>
        <w:jc w:val="both"/>
        <w:rPr>
          <w:sz w:val="28"/>
          <w:szCs w:val="28"/>
        </w:rPr>
      </w:pPr>
      <w:r w:rsidRPr="00956F87">
        <w:rPr>
          <w:sz w:val="28"/>
          <w:szCs w:val="28"/>
        </w:rPr>
        <w:t>Whether the claimant was entitled to the remedies</w:t>
      </w:r>
      <w:r w:rsidR="00C92296" w:rsidRPr="00956F87">
        <w:rPr>
          <w:sz w:val="28"/>
          <w:szCs w:val="28"/>
        </w:rPr>
        <w:t xml:space="preserve"> sought</w:t>
      </w:r>
      <w:r w:rsidR="00FE0E78" w:rsidRPr="00956F87">
        <w:rPr>
          <w:sz w:val="28"/>
          <w:szCs w:val="28"/>
        </w:rPr>
        <w:t>.</w:t>
      </w:r>
    </w:p>
    <w:p w:rsidR="00FE0E78" w:rsidRPr="00956F87" w:rsidRDefault="00FE0E78" w:rsidP="00956F87">
      <w:pPr>
        <w:jc w:val="both"/>
        <w:rPr>
          <w:sz w:val="28"/>
          <w:szCs w:val="28"/>
        </w:rPr>
      </w:pPr>
      <w:r w:rsidRPr="00956F87">
        <w:rPr>
          <w:sz w:val="28"/>
          <w:szCs w:val="28"/>
        </w:rPr>
        <w:t>We have no doubt that there was an employee-employer relationship</w:t>
      </w:r>
      <w:r w:rsidR="009A26C0" w:rsidRPr="00956F87">
        <w:rPr>
          <w:sz w:val="28"/>
          <w:szCs w:val="28"/>
        </w:rPr>
        <w:t xml:space="preserve"> between the claimant and the respondent since November 2012.  This is a</w:t>
      </w:r>
      <w:r w:rsidR="00693702">
        <w:rPr>
          <w:sz w:val="28"/>
          <w:szCs w:val="28"/>
        </w:rPr>
        <w:t>s</w:t>
      </w:r>
      <w:r w:rsidR="009A26C0" w:rsidRPr="00956F87">
        <w:rPr>
          <w:sz w:val="28"/>
          <w:szCs w:val="28"/>
        </w:rPr>
        <w:t xml:space="preserve"> claimed by the claimant in paragraph 2 of his statement on oath which was not controverted by the respondent.</w:t>
      </w:r>
      <w:r w:rsidRPr="00956F87">
        <w:rPr>
          <w:sz w:val="28"/>
          <w:szCs w:val="28"/>
        </w:rPr>
        <w:t xml:space="preserve">   </w:t>
      </w:r>
      <w:r w:rsidR="009A26C0" w:rsidRPr="00956F87">
        <w:rPr>
          <w:sz w:val="28"/>
          <w:szCs w:val="28"/>
        </w:rPr>
        <w:t>The rela</w:t>
      </w:r>
      <w:r w:rsidR="00AA6E66" w:rsidRPr="00956F87">
        <w:rPr>
          <w:sz w:val="28"/>
          <w:szCs w:val="28"/>
        </w:rPr>
        <w:t>tionship between both parties was</w:t>
      </w:r>
      <w:r w:rsidR="009A26C0" w:rsidRPr="00956F87">
        <w:rPr>
          <w:sz w:val="28"/>
          <w:szCs w:val="28"/>
        </w:rPr>
        <w:t xml:space="preserve"> based on an oral arrangement which both parties agree to.  It is our considered opinion that it was incumbent upon the claimant to prove to this court that he was e</w:t>
      </w:r>
      <w:r w:rsidR="007D0059">
        <w:rPr>
          <w:sz w:val="28"/>
          <w:szCs w:val="28"/>
        </w:rPr>
        <w:t>mployed on terms other than casu</w:t>
      </w:r>
      <w:r w:rsidR="009A26C0" w:rsidRPr="00956F87">
        <w:rPr>
          <w:sz w:val="28"/>
          <w:szCs w:val="28"/>
        </w:rPr>
        <w:t xml:space="preserve">al terms.  The only evidence available </w:t>
      </w:r>
      <w:r w:rsidR="00AA6E66" w:rsidRPr="00956F87">
        <w:rPr>
          <w:sz w:val="28"/>
          <w:szCs w:val="28"/>
        </w:rPr>
        <w:t xml:space="preserve">before this court is a payment </w:t>
      </w:r>
      <w:r w:rsidR="009A26C0" w:rsidRPr="00956F87">
        <w:rPr>
          <w:sz w:val="28"/>
          <w:szCs w:val="28"/>
        </w:rPr>
        <w:t>voucher dated 7</w:t>
      </w:r>
      <w:r w:rsidR="009A26C0" w:rsidRPr="00956F87">
        <w:rPr>
          <w:sz w:val="28"/>
          <w:szCs w:val="28"/>
          <w:vertAlign w:val="superscript"/>
        </w:rPr>
        <w:t>th</w:t>
      </w:r>
      <w:r w:rsidR="009A26C0" w:rsidRPr="00956F87">
        <w:rPr>
          <w:sz w:val="28"/>
          <w:szCs w:val="28"/>
        </w:rPr>
        <w:t xml:space="preserve"> Dec 2013 showing payment of 240,000/= for  16 days.</w:t>
      </w:r>
    </w:p>
    <w:p w:rsidR="009A26C0" w:rsidRPr="00956F87" w:rsidRDefault="00AA6E66" w:rsidP="00956F87">
      <w:pPr>
        <w:jc w:val="both"/>
        <w:rPr>
          <w:sz w:val="28"/>
          <w:szCs w:val="28"/>
        </w:rPr>
      </w:pPr>
      <w:r w:rsidRPr="00956F87">
        <w:rPr>
          <w:sz w:val="28"/>
          <w:szCs w:val="28"/>
        </w:rPr>
        <w:t>In his evidence in chief the claimant testified that he earned a salary of 920,000/= per month allowances inclusive as a st</w:t>
      </w:r>
      <w:r w:rsidR="00910CCB">
        <w:rPr>
          <w:sz w:val="28"/>
          <w:szCs w:val="28"/>
        </w:rPr>
        <w:t>ore keeper although the respondent</w:t>
      </w:r>
      <w:r w:rsidRPr="00956F87">
        <w:rPr>
          <w:sz w:val="28"/>
          <w:szCs w:val="28"/>
        </w:rPr>
        <w:t xml:space="preserve"> testified that this was not the case as the claimant was paid as and when there was work for  him</w:t>
      </w:r>
      <w:r w:rsidR="0039379A" w:rsidRPr="00956F87">
        <w:rPr>
          <w:sz w:val="28"/>
          <w:szCs w:val="28"/>
        </w:rPr>
        <w:t xml:space="preserve"> and he was never a store keeper.</w:t>
      </w:r>
      <w:r w:rsidR="00A96D5B" w:rsidRPr="00956F87">
        <w:rPr>
          <w:sz w:val="28"/>
          <w:szCs w:val="28"/>
        </w:rPr>
        <w:t xml:space="preserve">  The Employment regulations 2011 regulation 39 provides</w:t>
      </w:r>
    </w:p>
    <w:p w:rsidR="00A96D5B" w:rsidRPr="00956F87" w:rsidRDefault="00A96D5B" w:rsidP="00956F87">
      <w:pPr>
        <w:jc w:val="both"/>
        <w:rPr>
          <w:b/>
          <w:sz w:val="28"/>
          <w:szCs w:val="28"/>
        </w:rPr>
      </w:pPr>
      <w:r w:rsidRPr="00956F87">
        <w:rPr>
          <w:b/>
          <w:sz w:val="28"/>
          <w:szCs w:val="28"/>
        </w:rPr>
        <w:t>“39 contracts for causal employees</w:t>
      </w:r>
    </w:p>
    <w:p w:rsidR="00A96D5B" w:rsidRPr="00956F87" w:rsidRDefault="00A96D5B" w:rsidP="00956F87">
      <w:pPr>
        <w:pStyle w:val="ListParagraph"/>
        <w:numPr>
          <w:ilvl w:val="0"/>
          <w:numId w:val="2"/>
        </w:numPr>
        <w:jc w:val="both"/>
        <w:rPr>
          <w:b/>
          <w:sz w:val="28"/>
          <w:szCs w:val="28"/>
        </w:rPr>
      </w:pPr>
      <w:r w:rsidRPr="00956F87">
        <w:rPr>
          <w:b/>
          <w:sz w:val="28"/>
          <w:szCs w:val="28"/>
        </w:rPr>
        <w:t xml:space="preserve"> A person shall not be employed as a casual employee for a period exceeding four months.</w:t>
      </w:r>
    </w:p>
    <w:p w:rsidR="00A96D5B" w:rsidRPr="00956F87" w:rsidRDefault="00A96D5B" w:rsidP="00956F87">
      <w:pPr>
        <w:pStyle w:val="ListParagraph"/>
        <w:numPr>
          <w:ilvl w:val="0"/>
          <w:numId w:val="2"/>
        </w:numPr>
        <w:jc w:val="both"/>
        <w:rPr>
          <w:b/>
          <w:sz w:val="28"/>
          <w:szCs w:val="28"/>
        </w:rPr>
      </w:pPr>
      <w:r w:rsidRPr="00956F87">
        <w:rPr>
          <w:b/>
          <w:sz w:val="28"/>
          <w:szCs w:val="28"/>
        </w:rPr>
        <w:t>A casual employee engaged continuously for four months shall be entitled to a written contract and shall cease to be a casual employee and all rights and benefits enjoyed by other employees shall apply to him or her.</w:t>
      </w:r>
    </w:p>
    <w:p w:rsidR="003F71BD" w:rsidRPr="00956F87" w:rsidRDefault="003F71BD" w:rsidP="00956F87">
      <w:pPr>
        <w:pStyle w:val="ListParagraph"/>
        <w:numPr>
          <w:ilvl w:val="0"/>
          <w:numId w:val="2"/>
        </w:numPr>
        <w:jc w:val="both"/>
        <w:rPr>
          <w:b/>
          <w:sz w:val="28"/>
          <w:szCs w:val="28"/>
        </w:rPr>
      </w:pPr>
      <w:r w:rsidRPr="00956F87">
        <w:rPr>
          <w:b/>
          <w:sz w:val="28"/>
          <w:szCs w:val="28"/>
        </w:rPr>
        <w:t>An employment card shall be issued to and ret</w:t>
      </w:r>
      <w:r w:rsidR="00326D2F" w:rsidRPr="00956F87">
        <w:rPr>
          <w:b/>
          <w:sz w:val="28"/>
          <w:szCs w:val="28"/>
        </w:rPr>
        <w:t>a</w:t>
      </w:r>
      <w:r w:rsidRPr="00956F87">
        <w:rPr>
          <w:b/>
          <w:sz w:val="28"/>
          <w:szCs w:val="28"/>
        </w:rPr>
        <w:t xml:space="preserve">ined by the causal employee except at the request of the employee and shall not be taken from him or her, except for the purpose of having it marked by the employer which shall be done on each day worked or </w:t>
      </w:r>
      <w:r w:rsidR="00693702">
        <w:rPr>
          <w:b/>
          <w:sz w:val="28"/>
          <w:szCs w:val="28"/>
        </w:rPr>
        <w:t>in the case of a day to be counte</w:t>
      </w:r>
      <w:r w:rsidRPr="00956F87">
        <w:rPr>
          <w:b/>
          <w:sz w:val="28"/>
          <w:szCs w:val="28"/>
        </w:rPr>
        <w:t>d as worked on the next working day.</w:t>
      </w:r>
    </w:p>
    <w:p w:rsidR="003F71BD" w:rsidRDefault="00326D2F" w:rsidP="00956F87">
      <w:pPr>
        <w:pStyle w:val="ListParagraph"/>
        <w:numPr>
          <w:ilvl w:val="0"/>
          <w:numId w:val="2"/>
        </w:numPr>
        <w:jc w:val="both"/>
        <w:rPr>
          <w:b/>
          <w:sz w:val="28"/>
          <w:szCs w:val="28"/>
        </w:rPr>
      </w:pPr>
      <w:r w:rsidRPr="00956F87">
        <w:rPr>
          <w:b/>
          <w:sz w:val="28"/>
          <w:szCs w:val="28"/>
        </w:rPr>
        <w:t xml:space="preserve">Where a causal employee is laid off by an employer and </w:t>
      </w:r>
      <w:r w:rsidR="00693702">
        <w:rPr>
          <w:b/>
          <w:sz w:val="28"/>
          <w:szCs w:val="28"/>
        </w:rPr>
        <w:t xml:space="preserve">retired the service shall be </w:t>
      </w:r>
      <w:r w:rsidRPr="00956F87">
        <w:rPr>
          <w:b/>
          <w:sz w:val="28"/>
          <w:szCs w:val="28"/>
        </w:rPr>
        <w:t>regarded as continuous.</w:t>
      </w:r>
    </w:p>
    <w:p w:rsidR="00EC60E3" w:rsidRPr="00EC60E3" w:rsidRDefault="00EC60E3" w:rsidP="00EC60E3">
      <w:pPr>
        <w:pStyle w:val="ListParagraph"/>
        <w:jc w:val="both"/>
        <w:rPr>
          <w:sz w:val="28"/>
          <w:szCs w:val="28"/>
        </w:rPr>
      </w:pPr>
    </w:p>
    <w:p w:rsidR="00622AB1" w:rsidRPr="00622AB1" w:rsidRDefault="00622AB1" w:rsidP="00622AB1">
      <w:pPr>
        <w:pStyle w:val="ListParagraph"/>
        <w:jc w:val="both"/>
        <w:rPr>
          <w:sz w:val="28"/>
          <w:szCs w:val="28"/>
        </w:rPr>
      </w:pPr>
      <w:r>
        <w:rPr>
          <w:sz w:val="28"/>
          <w:szCs w:val="28"/>
        </w:rPr>
        <w:t xml:space="preserve">A casual laborer is generally defined as one who gets paid per day after doing what he has been engaged to do. There is no guarantee that his employer will give him a job the next day and the obligations and </w:t>
      </w:r>
      <w:r>
        <w:rPr>
          <w:sz w:val="28"/>
          <w:szCs w:val="28"/>
        </w:rPr>
        <w:lastRenderedPageBreak/>
        <w:t>responsibilities towards either the employee or the employer end with the work and payment of a particular day.</w:t>
      </w:r>
    </w:p>
    <w:p w:rsidR="00120919" w:rsidRPr="00956F87" w:rsidRDefault="00120919" w:rsidP="00956F87">
      <w:pPr>
        <w:jc w:val="both"/>
        <w:rPr>
          <w:sz w:val="28"/>
          <w:szCs w:val="28"/>
        </w:rPr>
      </w:pPr>
      <w:r w:rsidRPr="00956F87">
        <w:rPr>
          <w:sz w:val="28"/>
          <w:szCs w:val="28"/>
        </w:rPr>
        <w:t>It was the submission of c</w:t>
      </w:r>
      <w:r w:rsidR="00693702">
        <w:rPr>
          <w:sz w:val="28"/>
          <w:szCs w:val="28"/>
        </w:rPr>
        <w:t>ounse</w:t>
      </w:r>
      <w:r w:rsidRPr="00956F87">
        <w:rPr>
          <w:sz w:val="28"/>
          <w:szCs w:val="28"/>
        </w:rPr>
        <w:t xml:space="preserve">l for the respondent that </w:t>
      </w:r>
      <w:r w:rsidR="00587DC6" w:rsidRPr="00956F87">
        <w:rPr>
          <w:sz w:val="28"/>
          <w:szCs w:val="28"/>
        </w:rPr>
        <w:t xml:space="preserve">since the claimant  admitted having been paid 240,000/= for 16 days it was not possible that he earned a monthly pay of 500,000/= as salary and 420,00/= as allowances.  He argued that this was proof that the </w:t>
      </w:r>
      <w:r w:rsidR="00A80C67" w:rsidRPr="00956F87">
        <w:rPr>
          <w:sz w:val="28"/>
          <w:szCs w:val="28"/>
        </w:rPr>
        <w:t>claimant</w:t>
      </w:r>
      <w:r w:rsidR="00587DC6" w:rsidRPr="00956F87">
        <w:rPr>
          <w:sz w:val="28"/>
          <w:szCs w:val="28"/>
        </w:rPr>
        <w:t xml:space="preserve"> did not know how much he earned per month because he was earning per day.</w:t>
      </w:r>
    </w:p>
    <w:p w:rsidR="00587DC6" w:rsidRPr="00956F87" w:rsidRDefault="00587DC6" w:rsidP="00956F87">
      <w:pPr>
        <w:jc w:val="both"/>
        <w:rPr>
          <w:sz w:val="28"/>
          <w:szCs w:val="28"/>
        </w:rPr>
      </w:pPr>
      <w:r w:rsidRPr="00956F87">
        <w:rPr>
          <w:sz w:val="28"/>
          <w:szCs w:val="28"/>
        </w:rPr>
        <w:t>We agree with this submission and we are fortified</w:t>
      </w:r>
      <w:r w:rsidR="00E54C72" w:rsidRPr="00956F87">
        <w:rPr>
          <w:sz w:val="28"/>
          <w:szCs w:val="28"/>
        </w:rPr>
        <w:t xml:space="preserve"> in this by the available proceedings before the labour officer where the claimant claimed 920,000/= as commission but only to file the matter in this court and claim the same money as salary.  We do not accept the submission of counsel</w:t>
      </w:r>
      <w:r w:rsidR="00693702">
        <w:rPr>
          <w:sz w:val="28"/>
          <w:szCs w:val="28"/>
        </w:rPr>
        <w:t xml:space="preserve"> for  the</w:t>
      </w:r>
      <w:r w:rsidR="00E54C72" w:rsidRPr="00956F87">
        <w:rPr>
          <w:sz w:val="28"/>
          <w:szCs w:val="28"/>
        </w:rPr>
        <w:t xml:space="preserve"> claimant that it was up to the respondent to pr</w:t>
      </w:r>
      <w:r w:rsidR="00EC60E3">
        <w:rPr>
          <w:sz w:val="28"/>
          <w:szCs w:val="28"/>
        </w:rPr>
        <w:t>ove that the claimant was a casual</w:t>
      </w:r>
      <w:r w:rsidR="00E54C72" w:rsidRPr="00956F87">
        <w:rPr>
          <w:sz w:val="28"/>
          <w:szCs w:val="28"/>
        </w:rPr>
        <w:t xml:space="preserve"> </w:t>
      </w:r>
      <w:r w:rsidR="00622AB1" w:rsidRPr="00956F87">
        <w:rPr>
          <w:sz w:val="28"/>
          <w:szCs w:val="28"/>
        </w:rPr>
        <w:t>laborer</w:t>
      </w:r>
      <w:r w:rsidR="00E54C72" w:rsidRPr="00956F87">
        <w:rPr>
          <w:sz w:val="28"/>
          <w:szCs w:val="28"/>
        </w:rPr>
        <w:t xml:space="preserve"> by producing a number of vouchers since the only voucher produced showed the number of days that were paid for and which the claimant admitted. </w:t>
      </w:r>
      <w:r w:rsidR="00E613B1">
        <w:rPr>
          <w:sz w:val="28"/>
          <w:szCs w:val="28"/>
        </w:rPr>
        <w:t>We think the claimant had to prove that he was not a casual laborer.</w:t>
      </w:r>
      <w:r w:rsidR="00E54C72" w:rsidRPr="00956F87">
        <w:rPr>
          <w:sz w:val="28"/>
          <w:szCs w:val="28"/>
        </w:rPr>
        <w:t xml:space="preserve"> The claimant was not sure if he earned  the 920,000/= as salary or as commission.</w:t>
      </w:r>
      <w:r w:rsidR="007D0059">
        <w:rPr>
          <w:sz w:val="28"/>
          <w:szCs w:val="28"/>
        </w:rPr>
        <w:t xml:space="preserve"> The voucher which he signed did not show that he was employed as a store keeper.</w:t>
      </w:r>
    </w:p>
    <w:p w:rsidR="00E54C72" w:rsidRPr="00956F87" w:rsidRDefault="00E54C72" w:rsidP="00956F87">
      <w:pPr>
        <w:jc w:val="both"/>
        <w:rPr>
          <w:sz w:val="28"/>
          <w:szCs w:val="28"/>
        </w:rPr>
      </w:pPr>
      <w:r w:rsidRPr="00956F87">
        <w:rPr>
          <w:sz w:val="28"/>
          <w:szCs w:val="28"/>
        </w:rPr>
        <w:t>Consequently we hold that the claimant was employed as a casual worker.</w:t>
      </w:r>
      <w:r w:rsidR="00095F3C" w:rsidRPr="00956F87">
        <w:rPr>
          <w:sz w:val="28"/>
          <w:szCs w:val="28"/>
        </w:rPr>
        <w:t xml:space="preserve">  The respondent in evidence both in chief and in cross-examination admi</w:t>
      </w:r>
      <w:r w:rsidR="00693702">
        <w:rPr>
          <w:sz w:val="28"/>
          <w:szCs w:val="28"/>
        </w:rPr>
        <w:t>tted that the claimant was a ca</w:t>
      </w:r>
      <w:r w:rsidR="00095F3C" w:rsidRPr="00956F87">
        <w:rPr>
          <w:sz w:val="28"/>
          <w:szCs w:val="28"/>
        </w:rPr>
        <w:t>s</w:t>
      </w:r>
      <w:r w:rsidR="00693702">
        <w:rPr>
          <w:sz w:val="28"/>
          <w:szCs w:val="28"/>
        </w:rPr>
        <w:t>u</w:t>
      </w:r>
      <w:r w:rsidR="00095F3C" w:rsidRPr="00956F87">
        <w:rPr>
          <w:sz w:val="28"/>
          <w:szCs w:val="28"/>
        </w:rPr>
        <w:t xml:space="preserve">al </w:t>
      </w:r>
      <w:r w:rsidR="00EB7D02" w:rsidRPr="00956F87">
        <w:rPr>
          <w:sz w:val="28"/>
          <w:szCs w:val="28"/>
        </w:rPr>
        <w:t>laborer</w:t>
      </w:r>
      <w:r w:rsidR="00095F3C" w:rsidRPr="00956F87">
        <w:rPr>
          <w:sz w:val="28"/>
          <w:szCs w:val="28"/>
        </w:rPr>
        <w:t xml:space="preserve"> up to 7</w:t>
      </w:r>
      <w:r w:rsidR="00095F3C" w:rsidRPr="00956F87">
        <w:rPr>
          <w:sz w:val="28"/>
          <w:szCs w:val="28"/>
          <w:vertAlign w:val="superscript"/>
        </w:rPr>
        <w:t>th</w:t>
      </w:r>
      <w:r w:rsidR="00095F3C" w:rsidRPr="00956F87">
        <w:rPr>
          <w:sz w:val="28"/>
          <w:szCs w:val="28"/>
        </w:rPr>
        <w:t xml:space="preserve"> December 2013 when he received his payment but never returned to work.</w:t>
      </w:r>
    </w:p>
    <w:p w:rsidR="003B2F47" w:rsidRPr="001550DE" w:rsidRDefault="00095F3C" w:rsidP="00956F87">
      <w:pPr>
        <w:jc w:val="both"/>
        <w:rPr>
          <w:b/>
          <w:sz w:val="28"/>
          <w:szCs w:val="28"/>
        </w:rPr>
      </w:pPr>
      <w:r w:rsidRPr="00956F87">
        <w:rPr>
          <w:sz w:val="28"/>
          <w:szCs w:val="28"/>
        </w:rPr>
        <w:t>Since the claimant started to work with the respondent in November 2012, it follows that by the time he received the 240</w:t>
      </w:r>
      <w:r w:rsidR="00641E3D" w:rsidRPr="00956F87">
        <w:rPr>
          <w:sz w:val="28"/>
          <w:szCs w:val="28"/>
        </w:rPr>
        <w:t xml:space="preserve">,000/= he had worked for over 12 months as a causal </w:t>
      </w:r>
      <w:r w:rsidR="00EB7D02" w:rsidRPr="00956F87">
        <w:rPr>
          <w:sz w:val="28"/>
          <w:szCs w:val="28"/>
        </w:rPr>
        <w:t>laborer</w:t>
      </w:r>
      <w:r w:rsidR="003B2F47">
        <w:rPr>
          <w:sz w:val="28"/>
          <w:szCs w:val="28"/>
        </w:rPr>
        <w:t>. The question however is whether he was in continuous engageme</w:t>
      </w:r>
      <w:r w:rsidR="00EC60E3">
        <w:rPr>
          <w:sz w:val="28"/>
          <w:szCs w:val="28"/>
        </w:rPr>
        <w:t xml:space="preserve">nt within   </w:t>
      </w:r>
      <w:r w:rsidR="00EC60E3" w:rsidRPr="001550DE">
        <w:rPr>
          <w:b/>
          <w:sz w:val="28"/>
          <w:szCs w:val="28"/>
        </w:rPr>
        <w:t>regulation 39</w:t>
      </w:r>
      <w:r w:rsidR="001550DE" w:rsidRPr="001550DE">
        <w:rPr>
          <w:b/>
          <w:sz w:val="28"/>
          <w:szCs w:val="28"/>
        </w:rPr>
        <w:t xml:space="preserve"> of Statu</w:t>
      </w:r>
      <w:r w:rsidR="00EC60E3" w:rsidRPr="001550DE">
        <w:rPr>
          <w:b/>
          <w:sz w:val="28"/>
          <w:szCs w:val="28"/>
        </w:rPr>
        <w:t xml:space="preserve">tory Instrument no 61 of The </w:t>
      </w:r>
      <w:r w:rsidR="001550DE" w:rsidRPr="001550DE">
        <w:rPr>
          <w:b/>
          <w:sz w:val="28"/>
          <w:szCs w:val="28"/>
        </w:rPr>
        <w:t>Employment regulations</w:t>
      </w:r>
      <w:r w:rsidR="001550DE">
        <w:rPr>
          <w:b/>
          <w:sz w:val="28"/>
          <w:szCs w:val="28"/>
        </w:rPr>
        <w:t>.</w:t>
      </w:r>
    </w:p>
    <w:p w:rsidR="00623F54" w:rsidRDefault="003B2F47" w:rsidP="00956F87">
      <w:pPr>
        <w:jc w:val="both"/>
        <w:rPr>
          <w:sz w:val="28"/>
          <w:szCs w:val="28"/>
        </w:rPr>
      </w:pPr>
      <w:r>
        <w:rPr>
          <w:sz w:val="28"/>
          <w:szCs w:val="28"/>
        </w:rPr>
        <w:t xml:space="preserve">Continuous engagement in our view connotes </w:t>
      </w:r>
      <w:r w:rsidR="004F38C2">
        <w:rPr>
          <w:sz w:val="28"/>
          <w:szCs w:val="28"/>
        </w:rPr>
        <w:t>engagement everyday to do part</w:t>
      </w:r>
      <w:r w:rsidR="00623F54">
        <w:rPr>
          <w:sz w:val="28"/>
          <w:szCs w:val="28"/>
        </w:rPr>
        <w:t>i</w:t>
      </w:r>
      <w:r w:rsidR="004F38C2">
        <w:rPr>
          <w:sz w:val="28"/>
          <w:szCs w:val="28"/>
        </w:rPr>
        <w:t>cular works  over a certain period. I</w:t>
      </w:r>
      <w:r w:rsidR="00EC60E3">
        <w:rPr>
          <w:sz w:val="28"/>
          <w:szCs w:val="28"/>
        </w:rPr>
        <w:t>n</w:t>
      </w:r>
      <w:r w:rsidR="004F38C2">
        <w:rPr>
          <w:sz w:val="28"/>
          <w:szCs w:val="28"/>
        </w:rPr>
        <w:t xml:space="preserve"> terms of regulation 39 above the p</w:t>
      </w:r>
      <w:r w:rsidR="00EC60E3">
        <w:rPr>
          <w:sz w:val="28"/>
          <w:szCs w:val="28"/>
        </w:rPr>
        <w:t>e</w:t>
      </w:r>
      <w:r w:rsidR="004F38C2">
        <w:rPr>
          <w:sz w:val="28"/>
          <w:szCs w:val="28"/>
        </w:rPr>
        <w:t>riod is four months. The evidence from the claimant is that he was engaged as a store keeper which was denied by the respondent. The documentary evidence av</w:t>
      </w:r>
      <w:r w:rsidR="00EC60E3">
        <w:rPr>
          <w:sz w:val="28"/>
          <w:szCs w:val="28"/>
        </w:rPr>
        <w:t>a</w:t>
      </w:r>
      <w:r w:rsidR="004F38C2">
        <w:rPr>
          <w:sz w:val="28"/>
          <w:szCs w:val="28"/>
        </w:rPr>
        <w:t>i</w:t>
      </w:r>
      <w:r w:rsidR="00EC60E3">
        <w:rPr>
          <w:sz w:val="28"/>
          <w:szCs w:val="28"/>
        </w:rPr>
        <w:t>lable is a voucher payment to the</w:t>
      </w:r>
      <w:r w:rsidR="004F38C2">
        <w:rPr>
          <w:sz w:val="28"/>
          <w:szCs w:val="28"/>
        </w:rPr>
        <w:t xml:space="preserve"> cla</w:t>
      </w:r>
      <w:r w:rsidR="00623F54">
        <w:rPr>
          <w:sz w:val="28"/>
          <w:szCs w:val="28"/>
        </w:rPr>
        <w:t>imant for 16 d</w:t>
      </w:r>
      <w:r w:rsidR="00EC60E3">
        <w:rPr>
          <w:sz w:val="28"/>
          <w:szCs w:val="28"/>
        </w:rPr>
        <w:t>a</w:t>
      </w:r>
      <w:r w:rsidR="00623F54">
        <w:rPr>
          <w:sz w:val="28"/>
          <w:szCs w:val="28"/>
        </w:rPr>
        <w:t>ys  during December 2013.</w:t>
      </w:r>
    </w:p>
    <w:p w:rsidR="001550DE" w:rsidRPr="009F0086" w:rsidRDefault="00623F54" w:rsidP="001550DE">
      <w:pPr>
        <w:jc w:val="both"/>
        <w:rPr>
          <w:b/>
          <w:sz w:val="28"/>
          <w:szCs w:val="28"/>
        </w:rPr>
      </w:pPr>
      <w:r>
        <w:rPr>
          <w:sz w:val="28"/>
          <w:szCs w:val="28"/>
        </w:rPr>
        <w:t>In our consider</w:t>
      </w:r>
      <w:r w:rsidR="00EC60E3">
        <w:rPr>
          <w:sz w:val="28"/>
          <w:szCs w:val="28"/>
        </w:rPr>
        <w:t>e</w:t>
      </w:r>
      <w:r>
        <w:rPr>
          <w:sz w:val="28"/>
          <w:szCs w:val="28"/>
        </w:rPr>
        <w:t>d opinion this is only evidence that the respondent engaged the claimant but it doe</w:t>
      </w:r>
      <w:r w:rsidR="00EC60E3">
        <w:rPr>
          <w:sz w:val="28"/>
          <w:szCs w:val="28"/>
        </w:rPr>
        <w:t>s not show that the claimant was</w:t>
      </w:r>
      <w:r>
        <w:rPr>
          <w:sz w:val="28"/>
          <w:szCs w:val="28"/>
        </w:rPr>
        <w:t xml:space="preserve"> </w:t>
      </w:r>
      <w:r w:rsidR="00EC60E3">
        <w:rPr>
          <w:sz w:val="28"/>
          <w:szCs w:val="28"/>
        </w:rPr>
        <w:t>continuously</w:t>
      </w:r>
      <w:r>
        <w:rPr>
          <w:sz w:val="28"/>
          <w:szCs w:val="28"/>
        </w:rPr>
        <w:t xml:space="preserve"> engaged for four months so as to take benefit of regulation 39 above. It is possible that </w:t>
      </w:r>
      <w:r>
        <w:rPr>
          <w:sz w:val="28"/>
          <w:szCs w:val="28"/>
        </w:rPr>
        <w:lastRenderedPageBreak/>
        <w:t>he was engaged as and when there was work at the Depot as the respondent testified</w:t>
      </w:r>
      <w:r w:rsidR="00EC60E3">
        <w:rPr>
          <w:sz w:val="28"/>
          <w:szCs w:val="28"/>
        </w:rPr>
        <w:t>. The claimant needed to adduce further evidence</w:t>
      </w:r>
      <w:r w:rsidR="001550DE">
        <w:rPr>
          <w:sz w:val="28"/>
          <w:szCs w:val="28"/>
        </w:rPr>
        <w:t xml:space="preserve"> to prove continuous engagement and having failed to do so</w:t>
      </w:r>
      <w:r w:rsidR="009F0086">
        <w:rPr>
          <w:sz w:val="28"/>
          <w:szCs w:val="28"/>
        </w:rPr>
        <w:t xml:space="preserve"> by the time he lost the engagement he was still regarded as a casual laborer and </w:t>
      </w:r>
      <w:r w:rsidR="009F0086" w:rsidRPr="009F0086">
        <w:rPr>
          <w:b/>
          <w:sz w:val="28"/>
          <w:szCs w:val="28"/>
        </w:rPr>
        <w:t xml:space="preserve">regulation 39 (2) of the Employment regulations </w:t>
      </w:r>
      <w:r w:rsidR="009F0086" w:rsidRPr="009F0086">
        <w:rPr>
          <w:sz w:val="28"/>
          <w:szCs w:val="28"/>
        </w:rPr>
        <w:t>did not apply to him</w:t>
      </w:r>
      <w:r w:rsidR="009F0086" w:rsidRPr="009F0086">
        <w:rPr>
          <w:b/>
          <w:sz w:val="28"/>
          <w:szCs w:val="28"/>
        </w:rPr>
        <w:t>.</w:t>
      </w:r>
    </w:p>
    <w:p w:rsidR="00641E3D" w:rsidRPr="00956F87" w:rsidRDefault="00DC53E5" w:rsidP="00956F87">
      <w:pPr>
        <w:jc w:val="both"/>
        <w:rPr>
          <w:sz w:val="28"/>
          <w:szCs w:val="28"/>
        </w:rPr>
      </w:pPr>
      <w:r w:rsidRPr="00956F87">
        <w:rPr>
          <w:sz w:val="28"/>
          <w:szCs w:val="28"/>
        </w:rPr>
        <w:t>.</w:t>
      </w:r>
      <w:r w:rsidR="00641E3D" w:rsidRPr="00956F87">
        <w:rPr>
          <w:sz w:val="28"/>
          <w:szCs w:val="28"/>
        </w:rPr>
        <w:t xml:space="preserve"> </w:t>
      </w:r>
    </w:p>
    <w:p w:rsidR="00DC53E5" w:rsidRPr="00956F87" w:rsidRDefault="00DC53E5" w:rsidP="00956F87">
      <w:pPr>
        <w:jc w:val="both"/>
        <w:rPr>
          <w:sz w:val="28"/>
          <w:szCs w:val="28"/>
        </w:rPr>
      </w:pPr>
      <w:r w:rsidRPr="00956F87">
        <w:rPr>
          <w:sz w:val="28"/>
          <w:szCs w:val="28"/>
        </w:rPr>
        <w:t>Consequently</w:t>
      </w:r>
      <w:r w:rsidR="001A7221">
        <w:rPr>
          <w:sz w:val="28"/>
          <w:szCs w:val="28"/>
        </w:rPr>
        <w:t xml:space="preserve"> the  respondent was</w:t>
      </w:r>
      <w:r w:rsidR="009F0086">
        <w:rPr>
          <w:sz w:val="28"/>
          <w:szCs w:val="28"/>
        </w:rPr>
        <w:t xml:space="preserve"> not</w:t>
      </w:r>
      <w:r w:rsidR="001A7221">
        <w:rPr>
          <w:sz w:val="28"/>
          <w:szCs w:val="28"/>
        </w:rPr>
        <w:t xml:space="preserve"> entitled</w:t>
      </w:r>
      <w:r w:rsidR="00397AE0">
        <w:rPr>
          <w:sz w:val="28"/>
          <w:szCs w:val="28"/>
        </w:rPr>
        <w:t xml:space="preserve"> </w:t>
      </w:r>
      <w:r w:rsidR="00312742" w:rsidRPr="00956F87">
        <w:rPr>
          <w:sz w:val="28"/>
          <w:szCs w:val="28"/>
        </w:rPr>
        <w:t xml:space="preserve"> like other employees to a hearing as provided for under </w:t>
      </w:r>
      <w:r w:rsidR="00312742" w:rsidRPr="001A7221">
        <w:rPr>
          <w:b/>
          <w:sz w:val="28"/>
          <w:szCs w:val="28"/>
        </w:rPr>
        <w:t>section 66 of the Employment Act</w:t>
      </w:r>
      <w:r w:rsidR="00EC6EA3" w:rsidRPr="001A7221">
        <w:rPr>
          <w:b/>
          <w:sz w:val="28"/>
          <w:szCs w:val="28"/>
        </w:rPr>
        <w:t>,</w:t>
      </w:r>
      <w:r w:rsidR="00EC6EA3" w:rsidRPr="00956F87">
        <w:rPr>
          <w:sz w:val="28"/>
          <w:szCs w:val="28"/>
        </w:rPr>
        <w:t xml:space="preserve"> notice as provided for under </w:t>
      </w:r>
      <w:r w:rsidR="00EC6EA3" w:rsidRPr="001A7221">
        <w:rPr>
          <w:b/>
          <w:sz w:val="28"/>
          <w:szCs w:val="28"/>
        </w:rPr>
        <w:t>section 58 of the said Act</w:t>
      </w:r>
      <w:r w:rsidR="009F0086">
        <w:rPr>
          <w:sz w:val="28"/>
          <w:szCs w:val="28"/>
        </w:rPr>
        <w:t>,</w:t>
      </w:r>
      <w:r w:rsidR="00EC6EA3" w:rsidRPr="00956F87">
        <w:rPr>
          <w:sz w:val="28"/>
          <w:szCs w:val="28"/>
        </w:rPr>
        <w:t xml:space="preserve"> </w:t>
      </w:r>
      <w:r w:rsidR="001A7221">
        <w:rPr>
          <w:sz w:val="28"/>
          <w:szCs w:val="28"/>
        </w:rPr>
        <w:t>S</w:t>
      </w:r>
      <w:r w:rsidR="00EC6EA3" w:rsidRPr="00956F87">
        <w:rPr>
          <w:sz w:val="28"/>
          <w:szCs w:val="28"/>
        </w:rPr>
        <w:t xml:space="preserve">everance  as provided under </w:t>
      </w:r>
      <w:r w:rsidR="00EC6EA3" w:rsidRPr="001A7221">
        <w:rPr>
          <w:b/>
          <w:sz w:val="28"/>
          <w:szCs w:val="28"/>
        </w:rPr>
        <w:t>section 87 of the said Act</w:t>
      </w:r>
      <w:r w:rsidR="00EC6EA3" w:rsidRPr="00956F87">
        <w:rPr>
          <w:sz w:val="28"/>
          <w:szCs w:val="28"/>
        </w:rPr>
        <w:t xml:space="preserve">, leave as provided for under </w:t>
      </w:r>
      <w:r w:rsidR="00EC6EA3" w:rsidRPr="001A7221">
        <w:rPr>
          <w:b/>
          <w:sz w:val="28"/>
          <w:szCs w:val="28"/>
        </w:rPr>
        <w:t>section 54 of the  said Act</w:t>
      </w:r>
      <w:r w:rsidR="00EC6EA3" w:rsidRPr="00956F87">
        <w:rPr>
          <w:sz w:val="28"/>
          <w:szCs w:val="28"/>
        </w:rPr>
        <w:t>.</w:t>
      </w:r>
      <w:r w:rsidR="005768C5">
        <w:rPr>
          <w:sz w:val="28"/>
          <w:szCs w:val="28"/>
        </w:rPr>
        <w:t xml:space="preserve">  </w:t>
      </w:r>
    </w:p>
    <w:p w:rsidR="005768C5" w:rsidRPr="005768C5" w:rsidRDefault="00910CCB" w:rsidP="00956F87">
      <w:pPr>
        <w:jc w:val="both"/>
        <w:rPr>
          <w:sz w:val="28"/>
          <w:szCs w:val="28"/>
        </w:rPr>
      </w:pPr>
      <w:r>
        <w:rPr>
          <w:sz w:val="28"/>
          <w:szCs w:val="28"/>
        </w:rPr>
        <w:t>Even then</w:t>
      </w:r>
      <w:r w:rsidR="00E613B1">
        <w:rPr>
          <w:sz w:val="28"/>
          <w:szCs w:val="28"/>
        </w:rPr>
        <w:t>,</w:t>
      </w:r>
      <w:r>
        <w:rPr>
          <w:sz w:val="28"/>
          <w:szCs w:val="28"/>
        </w:rPr>
        <w:t xml:space="preserve"> the</w:t>
      </w:r>
      <w:r w:rsidR="005768C5" w:rsidRPr="005768C5">
        <w:rPr>
          <w:sz w:val="28"/>
          <w:szCs w:val="28"/>
        </w:rPr>
        <w:t xml:space="preserve"> respondent</w:t>
      </w:r>
      <w:r w:rsidR="005768C5">
        <w:rPr>
          <w:sz w:val="28"/>
          <w:szCs w:val="28"/>
        </w:rPr>
        <w:t xml:space="preserve"> denied having terminated the claimant although the claimant told court that he was orally told not to come to work.  The burden is on the claimant t</w:t>
      </w:r>
      <w:r w:rsidR="00491743">
        <w:rPr>
          <w:sz w:val="28"/>
          <w:szCs w:val="28"/>
        </w:rPr>
        <w:t xml:space="preserve">o prove termination. In his evidence in cross examination the/ /claimant testified that he was fired on </w:t>
      </w:r>
      <w:r w:rsidR="00D54716">
        <w:rPr>
          <w:sz w:val="28"/>
          <w:szCs w:val="28"/>
        </w:rPr>
        <w:t>18/01/2014</w:t>
      </w:r>
      <w:r w:rsidR="00491743">
        <w:rPr>
          <w:sz w:val="28"/>
          <w:szCs w:val="28"/>
        </w:rPr>
        <w:t xml:space="preserve">   because he st</w:t>
      </w:r>
      <w:r w:rsidR="00391CFB">
        <w:rPr>
          <w:sz w:val="28"/>
          <w:szCs w:val="28"/>
        </w:rPr>
        <w:t>ood surety for one Mukasa Geof</w:t>
      </w:r>
      <w:r w:rsidR="00E613B1">
        <w:rPr>
          <w:sz w:val="28"/>
          <w:szCs w:val="28"/>
        </w:rPr>
        <w:t>f</w:t>
      </w:r>
      <w:r w:rsidR="00391CFB">
        <w:rPr>
          <w:sz w:val="28"/>
          <w:szCs w:val="28"/>
        </w:rPr>
        <w:t>re</w:t>
      </w:r>
      <w:r w:rsidR="00491743">
        <w:rPr>
          <w:sz w:val="28"/>
          <w:szCs w:val="28"/>
        </w:rPr>
        <w:t>y his brother</w:t>
      </w:r>
      <w:r w:rsidR="00647D10">
        <w:rPr>
          <w:sz w:val="28"/>
          <w:szCs w:val="28"/>
        </w:rPr>
        <w:t>. According to the respondent the claimant was last seen</w:t>
      </w:r>
      <w:r w:rsidR="00D54716">
        <w:rPr>
          <w:sz w:val="28"/>
          <w:szCs w:val="28"/>
        </w:rPr>
        <w:t xml:space="preserve"> at the work place on 07/12/2013</w:t>
      </w:r>
      <w:r w:rsidR="00647D10">
        <w:rPr>
          <w:sz w:val="28"/>
          <w:szCs w:val="28"/>
        </w:rPr>
        <w:t xml:space="preserve"> when he got his last payment.</w:t>
      </w:r>
      <w:r w:rsidR="00173D17">
        <w:rPr>
          <w:sz w:val="28"/>
          <w:szCs w:val="28"/>
        </w:rPr>
        <w:t xml:space="preserve"> No further evidence was offered on behalf of either the claimant or the respondent in relation to termination. Given the burden on the claimant</w:t>
      </w:r>
      <w:r w:rsidR="00E613B1">
        <w:rPr>
          <w:sz w:val="28"/>
          <w:szCs w:val="28"/>
        </w:rPr>
        <w:t>,</w:t>
      </w:r>
      <w:r w:rsidR="00173D17">
        <w:rPr>
          <w:sz w:val="28"/>
          <w:szCs w:val="28"/>
        </w:rPr>
        <w:t xml:space="preserve"> we think he should have provided further evidence for the termination of his engagement. The fact that he stood surety for his brother in our view is not a sufficient discharge of this burden. We therefore find that </w:t>
      </w:r>
      <w:r w:rsidR="00EB7D02">
        <w:rPr>
          <w:sz w:val="28"/>
          <w:szCs w:val="28"/>
        </w:rPr>
        <w:t>the fact of termination was not proved.</w:t>
      </w:r>
    </w:p>
    <w:p w:rsidR="00397AE0" w:rsidRPr="00956F87" w:rsidRDefault="001A7221" w:rsidP="00956F87">
      <w:pPr>
        <w:jc w:val="both"/>
        <w:rPr>
          <w:sz w:val="28"/>
          <w:szCs w:val="28"/>
        </w:rPr>
      </w:pPr>
      <w:r>
        <w:rPr>
          <w:sz w:val="28"/>
          <w:szCs w:val="28"/>
        </w:rPr>
        <w:t>.</w:t>
      </w:r>
      <w:r w:rsidR="00397AE0">
        <w:rPr>
          <w:sz w:val="28"/>
          <w:szCs w:val="28"/>
        </w:rPr>
        <w:t xml:space="preserve">Consequently the claim </w:t>
      </w:r>
      <w:r w:rsidR="00910CCB">
        <w:rPr>
          <w:sz w:val="28"/>
          <w:szCs w:val="28"/>
        </w:rPr>
        <w:t>fails and it is dismissed</w:t>
      </w:r>
      <w:r w:rsidR="00397AE0">
        <w:rPr>
          <w:sz w:val="28"/>
          <w:szCs w:val="28"/>
        </w:rPr>
        <w:t xml:space="preserve"> with no order as to costs.</w:t>
      </w:r>
    </w:p>
    <w:p w:rsidR="00956F87" w:rsidRPr="00956F87" w:rsidRDefault="00397AE0" w:rsidP="00956F87">
      <w:pPr>
        <w:jc w:val="both"/>
        <w:rPr>
          <w:b/>
          <w:sz w:val="28"/>
          <w:szCs w:val="28"/>
        </w:rPr>
      </w:pPr>
      <w:r>
        <w:rPr>
          <w:b/>
          <w:sz w:val="28"/>
          <w:szCs w:val="28"/>
        </w:rPr>
        <w:t>Signed by</w:t>
      </w:r>
    </w:p>
    <w:p w:rsidR="00956F87" w:rsidRPr="00956F87" w:rsidRDefault="00956F87" w:rsidP="00956F87">
      <w:pPr>
        <w:pStyle w:val="ListParagraph"/>
        <w:numPr>
          <w:ilvl w:val="0"/>
          <w:numId w:val="5"/>
        </w:numPr>
        <w:spacing w:after="0" w:line="360" w:lineRule="auto"/>
        <w:jc w:val="both"/>
        <w:rPr>
          <w:sz w:val="28"/>
          <w:szCs w:val="28"/>
        </w:rPr>
      </w:pPr>
      <w:r w:rsidRPr="00956F87">
        <w:rPr>
          <w:sz w:val="28"/>
          <w:szCs w:val="28"/>
        </w:rPr>
        <w:t>The Hon. Chief Judge, Asaph  Ruhinda  Ntengye</w:t>
      </w:r>
      <w:r>
        <w:rPr>
          <w:sz w:val="28"/>
          <w:szCs w:val="28"/>
        </w:rPr>
        <w:tab/>
      </w:r>
      <w:r>
        <w:rPr>
          <w:sz w:val="28"/>
          <w:szCs w:val="28"/>
        </w:rPr>
        <w:tab/>
        <w:t>……………………………</w:t>
      </w:r>
    </w:p>
    <w:p w:rsidR="00956F87" w:rsidRPr="00956F87" w:rsidRDefault="00956F87" w:rsidP="00956F87">
      <w:pPr>
        <w:pStyle w:val="ListParagraph"/>
        <w:numPr>
          <w:ilvl w:val="0"/>
          <w:numId w:val="5"/>
        </w:numPr>
        <w:spacing w:after="0" w:line="240" w:lineRule="auto"/>
        <w:jc w:val="both"/>
        <w:rPr>
          <w:sz w:val="28"/>
          <w:szCs w:val="28"/>
        </w:rPr>
      </w:pPr>
      <w:r w:rsidRPr="00956F87">
        <w:rPr>
          <w:sz w:val="28"/>
          <w:szCs w:val="28"/>
        </w:rPr>
        <w:t xml:space="preserve">The Hon. Judge, Linda Lillian Tumusiime Mugisha </w:t>
      </w:r>
      <w:r>
        <w:rPr>
          <w:sz w:val="28"/>
          <w:szCs w:val="28"/>
        </w:rPr>
        <w:tab/>
        <w:t>……………………………</w:t>
      </w:r>
    </w:p>
    <w:p w:rsidR="00956F87" w:rsidRPr="00956F87" w:rsidRDefault="00956F87" w:rsidP="00956F87">
      <w:pPr>
        <w:jc w:val="both"/>
        <w:rPr>
          <w:b/>
          <w:sz w:val="28"/>
          <w:szCs w:val="28"/>
        </w:rPr>
      </w:pPr>
    </w:p>
    <w:p w:rsidR="00956F87" w:rsidRPr="00956F87" w:rsidRDefault="00956F87" w:rsidP="00956F87">
      <w:pPr>
        <w:jc w:val="both"/>
        <w:rPr>
          <w:b/>
          <w:sz w:val="28"/>
          <w:szCs w:val="28"/>
        </w:rPr>
      </w:pPr>
      <w:r w:rsidRPr="00956F87">
        <w:rPr>
          <w:b/>
          <w:sz w:val="28"/>
          <w:szCs w:val="28"/>
        </w:rPr>
        <w:t>PANELISTS</w:t>
      </w:r>
    </w:p>
    <w:p w:rsidR="00956F87" w:rsidRPr="00956F87" w:rsidRDefault="00956F87" w:rsidP="00956F87">
      <w:pPr>
        <w:pStyle w:val="ListParagraph"/>
        <w:numPr>
          <w:ilvl w:val="0"/>
          <w:numId w:val="6"/>
        </w:numPr>
        <w:spacing w:after="0" w:line="360" w:lineRule="auto"/>
        <w:jc w:val="both"/>
        <w:rPr>
          <w:sz w:val="28"/>
          <w:szCs w:val="28"/>
        </w:rPr>
      </w:pPr>
      <w:r w:rsidRPr="00956F87">
        <w:rPr>
          <w:sz w:val="28"/>
          <w:szCs w:val="28"/>
        </w:rPr>
        <w:t xml:space="preserve">Ms. Adrine Namara </w:t>
      </w:r>
      <w:r>
        <w:rPr>
          <w:sz w:val="28"/>
          <w:szCs w:val="28"/>
        </w:rPr>
        <w:tab/>
      </w:r>
      <w:r>
        <w:rPr>
          <w:sz w:val="28"/>
          <w:szCs w:val="28"/>
        </w:rPr>
        <w:tab/>
      </w:r>
      <w:r>
        <w:rPr>
          <w:sz w:val="28"/>
          <w:szCs w:val="28"/>
        </w:rPr>
        <w:tab/>
      </w:r>
      <w:r>
        <w:rPr>
          <w:sz w:val="28"/>
          <w:szCs w:val="28"/>
        </w:rPr>
        <w:tab/>
        <w:t>…………………………………….</w:t>
      </w:r>
    </w:p>
    <w:p w:rsidR="00956F87" w:rsidRPr="00956F87" w:rsidRDefault="00956F87" w:rsidP="00956F87">
      <w:pPr>
        <w:pStyle w:val="ListParagraph"/>
        <w:numPr>
          <w:ilvl w:val="0"/>
          <w:numId w:val="6"/>
        </w:numPr>
        <w:spacing w:after="0" w:line="360" w:lineRule="auto"/>
        <w:jc w:val="both"/>
        <w:rPr>
          <w:sz w:val="28"/>
          <w:szCs w:val="28"/>
        </w:rPr>
      </w:pPr>
      <w:r w:rsidRPr="00956F87">
        <w:rPr>
          <w:sz w:val="28"/>
          <w:szCs w:val="28"/>
        </w:rPr>
        <w:t>Mr. Micheal Matovu</w:t>
      </w:r>
      <w:r>
        <w:rPr>
          <w:sz w:val="28"/>
          <w:szCs w:val="28"/>
        </w:rPr>
        <w:tab/>
      </w:r>
      <w:r>
        <w:rPr>
          <w:sz w:val="28"/>
          <w:szCs w:val="28"/>
        </w:rPr>
        <w:tab/>
      </w:r>
      <w:r>
        <w:rPr>
          <w:sz w:val="28"/>
          <w:szCs w:val="28"/>
        </w:rPr>
        <w:tab/>
      </w:r>
      <w:r>
        <w:rPr>
          <w:sz w:val="28"/>
          <w:szCs w:val="28"/>
        </w:rPr>
        <w:tab/>
        <w:t>…………………………………….</w:t>
      </w:r>
    </w:p>
    <w:p w:rsidR="00956F87" w:rsidRDefault="00956F87" w:rsidP="00956F87">
      <w:pPr>
        <w:pStyle w:val="ListParagraph"/>
        <w:numPr>
          <w:ilvl w:val="0"/>
          <w:numId w:val="6"/>
        </w:numPr>
        <w:spacing w:after="0" w:line="360" w:lineRule="auto"/>
        <w:jc w:val="both"/>
        <w:rPr>
          <w:sz w:val="28"/>
          <w:szCs w:val="28"/>
        </w:rPr>
      </w:pPr>
      <w:r w:rsidRPr="00956F87">
        <w:rPr>
          <w:sz w:val="28"/>
          <w:szCs w:val="28"/>
        </w:rPr>
        <w:t>Ms. Susan Nabirye</w:t>
      </w:r>
      <w:r>
        <w:rPr>
          <w:sz w:val="28"/>
          <w:szCs w:val="28"/>
        </w:rPr>
        <w:tab/>
      </w:r>
      <w:r>
        <w:rPr>
          <w:sz w:val="28"/>
          <w:szCs w:val="28"/>
        </w:rPr>
        <w:tab/>
      </w:r>
      <w:r>
        <w:rPr>
          <w:sz w:val="28"/>
          <w:szCs w:val="28"/>
        </w:rPr>
        <w:tab/>
      </w:r>
      <w:r>
        <w:rPr>
          <w:sz w:val="28"/>
          <w:szCs w:val="28"/>
        </w:rPr>
        <w:tab/>
        <w:t>…………………………………….</w:t>
      </w:r>
    </w:p>
    <w:p w:rsidR="00E613B1" w:rsidRPr="00956F87" w:rsidRDefault="00E613B1" w:rsidP="00E613B1">
      <w:pPr>
        <w:pStyle w:val="ListParagraph"/>
        <w:spacing w:after="0" w:line="360" w:lineRule="auto"/>
        <w:ind w:left="360"/>
        <w:jc w:val="both"/>
        <w:rPr>
          <w:sz w:val="28"/>
          <w:szCs w:val="28"/>
        </w:rPr>
      </w:pPr>
      <w:r>
        <w:rPr>
          <w:sz w:val="28"/>
          <w:szCs w:val="28"/>
        </w:rPr>
        <w:t>Dat</w:t>
      </w:r>
      <w:r w:rsidR="0058760E">
        <w:rPr>
          <w:sz w:val="28"/>
          <w:szCs w:val="28"/>
        </w:rPr>
        <w:t>ed: 6/APRIL/2018</w:t>
      </w:r>
      <w:bookmarkStart w:id="0" w:name="_GoBack"/>
      <w:bookmarkEnd w:id="0"/>
    </w:p>
    <w:p w:rsidR="00956F87" w:rsidRDefault="00956F87" w:rsidP="00956F87">
      <w:pPr>
        <w:spacing w:line="360" w:lineRule="auto"/>
        <w:jc w:val="both"/>
        <w:rPr>
          <w:sz w:val="28"/>
          <w:szCs w:val="28"/>
        </w:rPr>
      </w:pPr>
    </w:p>
    <w:p w:rsidR="00956F87" w:rsidRPr="00956F87" w:rsidRDefault="00956F87" w:rsidP="00956F87">
      <w:pPr>
        <w:jc w:val="both"/>
        <w:rPr>
          <w:sz w:val="28"/>
          <w:szCs w:val="28"/>
        </w:rPr>
      </w:pPr>
    </w:p>
    <w:sectPr w:rsidR="00956F87" w:rsidRPr="00956F87" w:rsidSect="0090709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034" w:rsidRDefault="00285034" w:rsidP="00236F90">
      <w:pPr>
        <w:spacing w:after="0" w:line="240" w:lineRule="auto"/>
      </w:pPr>
      <w:r>
        <w:separator/>
      </w:r>
    </w:p>
  </w:endnote>
  <w:endnote w:type="continuationSeparator" w:id="0">
    <w:p w:rsidR="00285034" w:rsidRDefault="00285034" w:rsidP="00236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592"/>
      <w:docPartObj>
        <w:docPartGallery w:val="Page Numbers (Bottom of Page)"/>
        <w:docPartUnique/>
      </w:docPartObj>
    </w:sdtPr>
    <w:sdtEndPr/>
    <w:sdtContent>
      <w:p w:rsidR="00236F90" w:rsidRDefault="0058760E">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236F90" w:rsidRDefault="00236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034" w:rsidRDefault="00285034" w:rsidP="00236F90">
      <w:pPr>
        <w:spacing w:after="0" w:line="240" w:lineRule="auto"/>
      </w:pPr>
      <w:r>
        <w:separator/>
      </w:r>
    </w:p>
  </w:footnote>
  <w:footnote w:type="continuationSeparator" w:id="0">
    <w:p w:rsidR="00285034" w:rsidRDefault="00285034" w:rsidP="00236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A239E"/>
    <w:multiLevelType w:val="hybridMultilevel"/>
    <w:tmpl w:val="4B0C74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2B46E9"/>
    <w:multiLevelType w:val="hybridMultilevel"/>
    <w:tmpl w:val="F5F0BD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79008CE"/>
    <w:multiLevelType w:val="hybridMultilevel"/>
    <w:tmpl w:val="E654B8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30465F0"/>
    <w:multiLevelType w:val="hybridMultilevel"/>
    <w:tmpl w:val="F5F0BD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1F40799"/>
    <w:multiLevelType w:val="hybridMultilevel"/>
    <w:tmpl w:val="AA109404"/>
    <w:lvl w:ilvl="0" w:tplc="0D3E3E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9C268DD"/>
    <w:multiLevelType w:val="hybridMultilevel"/>
    <w:tmpl w:val="E654B8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0311"/>
    <w:rsid w:val="00095F3C"/>
    <w:rsid w:val="00120919"/>
    <w:rsid w:val="00130311"/>
    <w:rsid w:val="001550DE"/>
    <w:rsid w:val="00173D17"/>
    <w:rsid w:val="001A7221"/>
    <w:rsid w:val="001C5BB9"/>
    <w:rsid w:val="00201D69"/>
    <w:rsid w:val="00236F90"/>
    <w:rsid w:val="00285034"/>
    <w:rsid w:val="00303EAC"/>
    <w:rsid w:val="00312742"/>
    <w:rsid w:val="00326D2F"/>
    <w:rsid w:val="00391CFB"/>
    <w:rsid w:val="0039379A"/>
    <w:rsid w:val="00397AE0"/>
    <w:rsid w:val="003A25EA"/>
    <w:rsid w:val="003B2F47"/>
    <w:rsid w:val="003F71BD"/>
    <w:rsid w:val="00416DFB"/>
    <w:rsid w:val="004348B9"/>
    <w:rsid w:val="00491743"/>
    <w:rsid w:val="004F38C2"/>
    <w:rsid w:val="00510122"/>
    <w:rsid w:val="005768C5"/>
    <w:rsid w:val="0058760E"/>
    <w:rsid w:val="00587DC6"/>
    <w:rsid w:val="00622AB1"/>
    <w:rsid w:val="00623F54"/>
    <w:rsid w:val="00641E3D"/>
    <w:rsid w:val="00647D10"/>
    <w:rsid w:val="006902C5"/>
    <w:rsid w:val="00693702"/>
    <w:rsid w:val="007A3216"/>
    <w:rsid w:val="007D0059"/>
    <w:rsid w:val="00907096"/>
    <w:rsid w:val="00910CCB"/>
    <w:rsid w:val="00956F87"/>
    <w:rsid w:val="009A26C0"/>
    <w:rsid w:val="009A421B"/>
    <w:rsid w:val="009F0086"/>
    <w:rsid w:val="00A048BF"/>
    <w:rsid w:val="00A80C67"/>
    <w:rsid w:val="00A96D5B"/>
    <w:rsid w:val="00AA6E66"/>
    <w:rsid w:val="00C92296"/>
    <w:rsid w:val="00CF1932"/>
    <w:rsid w:val="00D54716"/>
    <w:rsid w:val="00DC53E5"/>
    <w:rsid w:val="00E54C72"/>
    <w:rsid w:val="00E613B1"/>
    <w:rsid w:val="00EB7D02"/>
    <w:rsid w:val="00EC60E3"/>
    <w:rsid w:val="00EC6EA3"/>
    <w:rsid w:val="00FE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BD754-7C9A-40F9-AC4B-6F3CC96F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11"/>
    <w:pPr>
      <w:spacing w:after="160"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311"/>
    <w:pPr>
      <w:ind w:left="720"/>
      <w:contextualSpacing/>
    </w:pPr>
  </w:style>
  <w:style w:type="paragraph" w:styleId="Header">
    <w:name w:val="header"/>
    <w:basedOn w:val="Normal"/>
    <w:link w:val="HeaderChar"/>
    <w:uiPriority w:val="99"/>
    <w:semiHidden/>
    <w:unhideWhenUsed/>
    <w:rsid w:val="00236F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6F90"/>
    <w:rPr>
      <w:lang w:val="en-US"/>
    </w:rPr>
  </w:style>
  <w:style w:type="paragraph" w:styleId="Footer">
    <w:name w:val="footer"/>
    <w:basedOn w:val="Normal"/>
    <w:link w:val="FooterChar"/>
    <w:uiPriority w:val="99"/>
    <w:unhideWhenUsed/>
    <w:rsid w:val="00236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F9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ATUHAIRWE</dc:creator>
  <cp:lastModifiedBy>Windows User</cp:lastModifiedBy>
  <cp:revision>9</cp:revision>
  <dcterms:created xsi:type="dcterms:W3CDTF">2018-04-03T06:16:00Z</dcterms:created>
  <dcterms:modified xsi:type="dcterms:W3CDTF">2018-06-26T12:22:00Z</dcterms:modified>
</cp:coreProperties>
</file>