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09" w:rsidRPr="00D66297" w:rsidRDefault="00593D09" w:rsidP="00593D09">
      <w:pPr>
        <w:spacing w:after="0"/>
        <w:jc w:val="center"/>
        <w:rPr>
          <w:b/>
          <w:sz w:val="28"/>
          <w:szCs w:val="28"/>
        </w:rPr>
      </w:pPr>
      <w:r w:rsidRPr="00D66297">
        <w:rPr>
          <w:b/>
          <w:sz w:val="28"/>
          <w:szCs w:val="28"/>
        </w:rPr>
        <w:t>THE REPUBLIC OF UGANDA</w:t>
      </w:r>
    </w:p>
    <w:p w:rsidR="00593D09" w:rsidRPr="00D66297" w:rsidRDefault="00593D09" w:rsidP="00593D09">
      <w:pPr>
        <w:spacing w:after="0"/>
        <w:jc w:val="center"/>
        <w:rPr>
          <w:b/>
          <w:sz w:val="28"/>
          <w:szCs w:val="28"/>
        </w:rPr>
      </w:pPr>
      <w:r w:rsidRPr="00D66297">
        <w:rPr>
          <w:b/>
          <w:sz w:val="28"/>
          <w:szCs w:val="28"/>
        </w:rPr>
        <w:t>THE INDUSTRIAL COURT OF UGANDA HOLDEN AT KAMPALA</w:t>
      </w:r>
    </w:p>
    <w:p w:rsidR="00593D09" w:rsidRDefault="00593D09" w:rsidP="00593D09">
      <w:pPr>
        <w:spacing w:after="0"/>
        <w:jc w:val="center"/>
        <w:rPr>
          <w:b/>
          <w:sz w:val="28"/>
          <w:szCs w:val="28"/>
        </w:rPr>
      </w:pPr>
      <w:r>
        <w:rPr>
          <w:b/>
          <w:sz w:val="28"/>
          <w:szCs w:val="28"/>
        </w:rPr>
        <w:t>MISC. APPLN.  195/2017</w:t>
      </w:r>
    </w:p>
    <w:p w:rsidR="00593D09" w:rsidRPr="00D66297" w:rsidRDefault="00593D09" w:rsidP="00593D09">
      <w:pPr>
        <w:spacing w:after="0"/>
        <w:jc w:val="center"/>
        <w:rPr>
          <w:b/>
          <w:sz w:val="28"/>
          <w:szCs w:val="28"/>
        </w:rPr>
      </w:pPr>
      <w:r w:rsidRPr="00D66297">
        <w:rPr>
          <w:b/>
          <w:sz w:val="28"/>
          <w:szCs w:val="28"/>
        </w:rPr>
        <w:t xml:space="preserve">LABOUR DISPUTE CLAIM NO. </w:t>
      </w:r>
      <w:r w:rsidRPr="00D66297">
        <w:rPr>
          <w:rFonts w:cs="Calibri"/>
          <w:sz w:val="28"/>
          <w:szCs w:val="28"/>
        </w:rPr>
        <w:t>261/2015</w:t>
      </w:r>
    </w:p>
    <w:p w:rsidR="00593D09" w:rsidRPr="00D66297" w:rsidRDefault="00593D09" w:rsidP="00593D09">
      <w:pPr>
        <w:spacing w:after="0"/>
        <w:jc w:val="center"/>
        <w:rPr>
          <w:b/>
          <w:sz w:val="28"/>
          <w:szCs w:val="28"/>
        </w:rPr>
      </w:pPr>
    </w:p>
    <w:p w:rsidR="00593D09" w:rsidRPr="00D66297" w:rsidRDefault="00593D09" w:rsidP="00593D09">
      <w:pPr>
        <w:spacing w:after="0"/>
        <w:jc w:val="center"/>
        <w:rPr>
          <w:b/>
          <w:sz w:val="28"/>
          <w:szCs w:val="28"/>
        </w:rPr>
      </w:pPr>
      <w:r w:rsidRPr="00D66297">
        <w:rPr>
          <w:b/>
          <w:sz w:val="28"/>
          <w:szCs w:val="28"/>
        </w:rPr>
        <w:t>BETWEEN</w:t>
      </w:r>
    </w:p>
    <w:p w:rsidR="00593D09" w:rsidRPr="00D66297" w:rsidRDefault="00593D09" w:rsidP="00593D09">
      <w:pPr>
        <w:spacing w:after="0"/>
        <w:jc w:val="center"/>
        <w:rPr>
          <w:rFonts w:cs="Times New Roman"/>
          <w:sz w:val="28"/>
          <w:szCs w:val="28"/>
        </w:rPr>
      </w:pPr>
      <w:r w:rsidRPr="00D66297">
        <w:rPr>
          <w:rFonts w:cs="Calibri"/>
          <w:sz w:val="28"/>
          <w:szCs w:val="28"/>
        </w:rPr>
        <w:t xml:space="preserve">REIME (U) </w:t>
      </w:r>
      <w:r w:rsidRPr="00D66297">
        <w:rPr>
          <w:sz w:val="28"/>
          <w:szCs w:val="28"/>
        </w:rPr>
        <w:t>…………</w:t>
      </w:r>
      <w:r>
        <w:rPr>
          <w:sz w:val="28"/>
          <w:szCs w:val="28"/>
        </w:rPr>
        <w:t>………………………………………………..</w:t>
      </w:r>
      <w:r w:rsidRPr="00D66297">
        <w:rPr>
          <w:sz w:val="28"/>
          <w:szCs w:val="28"/>
        </w:rPr>
        <w:t>………</w:t>
      </w:r>
      <w:r w:rsidRPr="00D66297">
        <w:rPr>
          <w:b/>
          <w:sz w:val="28"/>
          <w:szCs w:val="28"/>
        </w:rPr>
        <w:t>CLAIMANT</w:t>
      </w:r>
    </w:p>
    <w:p w:rsidR="00593D09" w:rsidRPr="00D66297" w:rsidRDefault="00593D09" w:rsidP="00593D09">
      <w:pPr>
        <w:spacing w:after="0"/>
        <w:jc w:val="center"/>
        <w:rPr>
          <w:b/>
          <w:sz w:val="28"/>
          <w:szCs w:val="28"/>
        </w:rPr>
      </w:pPr>
      <w:r w:rsidRPr="00D66297">
        <w:rPr>
          <w:b/>
          <w:sz w:val="28"/>
          <w:szCs w:val="28"/>
        </w:rPr>
        <w:t>VERSUS</w:t>
      </w:r>
    </w:p>
    <w:p w:rsidR="00593D09" w:rsidRPr="00D66297" w:rsidRDefault="00593D09" w:rsidP="00593D09">
      <w:pPr>
        <w:pStyle w:val="ListParagraph"/>
        <w:ind w:left="0"/>
        <w:jc w:val="center"/>
        <w:rPr>
          <w:rFonts w:asciiTheme="minorHAnsi" w:hAnsiTheme="minorHAnsi"/>
          <w:sz w:val="28"/>
          <w:szCs w:val="28"/>
        </w:rPr>
      </w:pPr>
      <w:r>
        <w:rPr>
          <w:rFonts w:cs="Calibri"/>
          <w:sz w:val="28"/>
          <w:szCs w:val="28"/>
        </w:rPr>
        <w:t>PAUL BALABA</w:t>
      </w:r>
      <w:r w:rsidRPr="00D66297">
        <w:rPr>
          <w:rFonts w:asciiTheme="minorHAnsi" w:hAnsiTheme="minorHAnsi" w:cs="Calibri"/>
          <w:sz w:val="28"/>
          <w:szCs w:val="28"/>
        </w:rPr>
        <w:t xml:space="preserve"> LTD.</w:t>
      </w:r>
      <w:r w:rsidRPr="00D66297">
        <w:rPr>
          <w:rFonts w:asciiTheme="minorHAnsi" w:hAnsiTheme="minorHAnsi"/>
          <w:sz w:val="28"/>
          <w:szCs w:val="28"/>
        </w:rPr>
        <w:t>……</w:t>
      </w:r>
      <w:r>
        <w:rPr>
          <w:rFonts w:asciiTheme="minorHAnsi" w:hAnsiTheme="minorHAnsi"/>
          <w:sz w:val="28"/>
          <w:szCs w:val="28"/>
        </w:rPr>
        <w:t>……………………………………….</w:t>
      </w:r>
      <w:r w:rsidRPr="00D66297">
        <w:rPr>
          <w:rFonts w:asciiTheme="minorHAnsi" w:hAnsiTheme="minorHAnsi"/>
          <w:sz w:val="28"/>
          <w:szCs w:val="28"/>
        </w:rPr>
        <w:t>……...........</w:t>
      </w:r>
      <w:r w:rsidRPr="00D66297">
        <w:rPr>
          <w:rFonts w:asciiTheme="minorHAnsi" w:hAnsiTheme="minorHAnsi"/>
          <w:b/>
          <w:sz w:val="28"/>
          <w:szCs w:val="28"/>
        </w:rPr>
        <w:t>RESPONDENT</w:t>
      </w:r>
    </w:p>
    <w:p w:rsidR="00593D09" w:rsidRPr="00D66297" w:rsidRDefault="00593D09" w:rsidP="00593D09">
      <w:pPr>
        <w:spacing w:after="0"/>
        <w:jc w:val="center"/>
        <w:rPr>
          <w:b/>
          <w:sz w:val="28"/>
          <w:szCs w:val="28"/>
        </w:rPr>
      </w:pPr>
    </w:p>
    <w:p w:rsidR="00593D09" w:rsidRPr="00D66297" w:rsidRDefault="00593D09" w:rsidP="00593D09">
      <w:pPr>
        <w:spacing w:after="0"/>
        <w:jc w:val="both"/>
        <w:rPr>
          <w:rFonts w:cs="Calibri"/>
          <w:b/>
          <w:sz w:val="28"/>
          <w:szCs w:val="28"/>
          <w:u w:val="single"/>
        </w:rPr>
      </w:pPr>
      <w:r w:rsidRPr="00D66297">
        <w:rPr>
          <w:rFonts w:cs="Calibri"/>
          <w:b/>
          <w:sz w:val="28"/>
          <w:szCs w:val="28"/>
          <w:u w:val="single"/>
        </w:rPr>
        <w:t>BEFORE</w:t>
      </w:r>
    </w:p>
    <w:p w:rsidR="00593D09" w:rsidRPr="00D66297" w:rsidRDefault="00593D09" w:rsidP="00593D09">
      <w:pPr>
        <w:spacing w:after="0"/>
        <w:jc w:val="both"/>
        <w:rPr>
          <w:rFonts w:cs="Calibri"/>
          <w:sz w:val="28"/>
          <w:szCs w:val="28"/>
        </w:rPr>
      </w:pPr>
      <w:r w:rsidRPr="00D66297">
        <w:rPr>
          <w:rFonts w:cs="Calibri"/>
          <w:sz w:val="28"/>
          <w:szCs w:val="28"/>
        </w:rPr>
        <w:t xml:space="preserve">1. Hon. Chief Judge Ruhinda Asaph Ntengye                                          </w:t>
      </w:r>
    </w:p>
    <w:p w:rsidR="00593D09" w:rsidRPr="00D66297" w:rsidRDefault="00593D09" w:rsidP="00593D09">
      <w:pPr>
        <w:spacing w:after="0"/>
        <w:jc w:val="both"/>
        <w:rPr>
          <w:rFonts w:cs="Calibri"/>
          <w:sz w:val="28"/>
          <w:szCs w:val="28"/>
        </w:rPr>
      </w:pPr>
      <w:r w:rsidRPr="00D66297">
        <w:rPr>
          <w:rFonts w:cs="Calibri"/>
          <w:sz w:val="28"/>
          <w:szCs w:val="28"/>
        </w:rPr>
        <w:t>2. Hon. Lady Justice Linda Tumusiime Mugisha</w:t>
      </w:r>
    </w:p>
    <w:p w:rsidR="00593D09" w:rsidRPr="00D66297" w:rsidRDefault="00593D09" w:rsidP="00593D09">
      <w:pPr>
        <w:spacing w:after="0"/>
        <w:jc w:val="both"/>
        <w:rPr>
          <w:sz w:val="28"/>
          <w:szCs w:val="28"/>
        </w:rPr>
      </w:pPr>
    </w:p>
    <w:p w:rsidR="00593D09" w:rsidRPr="00D66297" w:rsidRDefault="00593D09" w:rsidP="00593D09">
      <w:pPr>
        <w:spacing w:after="0"/>
        <w:jc w:val="both"/>
        <w:rPr>
          <w:rFonts w:cs="Calibri"/>
          <w:b/>
          <w:sz w:val="28"/>
          <w:szCs w:val="28"/>
          <w:u w:val="single"/>
        </w:rPr>
      </w:pPr>
      <w:r w:rsidRPr="00D66297">
        <w:rPr>
          <w:rFonts w:cs="Calibri"/>
          <w:b/>
          <w:sz w:val="28"/>
          <w:szCs w:val="28"/>
          <w:u w:val="single"/>
        </w:rPr>
        <w:t>PANELISTS</w:t>
      </w:r>
    </w:p>
    <w:p w:rsidR="00593D09" w:rsidRPr="00D66297" w:rsidRDefault="00593D09" w:rsidP="00DD5946">
      <w:pPr>
        <w:pStyle w:val="ListParagraph"/>
        <w:numPr>
          <w:ilvl w:val="0"/>
          <w:numId w:val="2"/>
        </w:numPr>
        <w:rPr>
          <w:rFonts w:asciiTheme="minorHAnsi" w:hAnsiTheme="minorHAnsi"/>
          <w:sz w:val="28"/>
          <w:szCs w:val="28"/>
        </w:rPr>
      </w:pPr>
      <w:r w:rsidRPr="00D66297">
        <w:rPr>
          <w:rFonts w:asciiTheme="minorHAnsi" w:hAnsiTheme="minorHAnsi"/>
          <w:sz w:val="28"/>
          <w:szCs w:val="28"/>
        </w:rPr>
        <w:t xml:space="preserve">Mr. </w:t>
      </w:r>
      <w:r w:rsidR="007C264E">
        <w:rPr>
          <w:rFonts w:asciiTheme="minorHAnsi" w:hAnsiTheme="minorHAnsi"/>
          <w:sz w:val="28"/>
          <w:szCs w:val="28"/>
        </w:rPr>
        <w:t>Rwomushana Jack Reuben</w:t>
      </w:r>
    </w:p>
    <w:p w:rsidR="00593D09" w:rsidRPr="00D66297" w:rsidRDefault="00593D09" w:rsidP="00DD5946">
      <w:pPr>
        <w:pStyle w:val="ListParagraph"/>
        <w:numPr>
          <w:ilvl w:val="0"/>
          <w:numId w:val="2"/>
        </w:numPr>
        <w:rPr>
          <w:rFonts w:asciiTheme="minorHAnsi" w:hAnsiTheme="minorHAnsi"/>
          <w:sz w:val="28"/>
          <w:szCs w:val="28"/>
        </w:rPr>
      </w:pPr>
      <w:r w:rsidRPr="00D66297">
        <w:rPr>
          <w:rFonts w:asciiTheme="minorHAnsi" w:hAnsiTheme="minorHAnsi"/>
          <w:sz w:val="28"/>
          <w:szCs w:val="28"/>
        </w:rPr>
        <w:t xml:space="preserve">Mr. </w:t>
      </w:r>
      <w:r w:rsidR="007C264E">
        <w:rPr>
          <w:rFonts w:asciiTheme="minorHAnsi" w:hAnsiTheme="minorHAnsi"/>
          <w:sz w:val="28"/>
          <w:szCs w:val="28"/>
        </w:rPr>
        <w:t>Anthony Wanyama</w:t>
      </w:r>
    </w:p>
    <w:p w:rsidR="00593D09" w:rsidRPr="00D66297" w:rsidRDefault="00593D09" w:rsidP="00DD5946">
      <w:pPr>
        <w:pStyle w:val="ListParagraph"/>
        <w:numPr>
          <w:ilvl w:val="0"/>
          <w:numId w:val="2"/>
        </w:numPr>
        <w:rPr>
          <w:rFonts w:asciiTheme="minorHAnsi" w:hAnsiTheme="minorHAnsi"/>
          <w:sz w:val="28"/>
          <w:szCs w:val="28"/>
        </w:rPr>
      </w:pPr>
      <w:r w:rsidRPr="00D66297">
        <w:rPr>
          <w:rFonts w:asciiTheme="minorHAnsi" w:hAnsiTheme="minorHAnsi"/>
          <w:sz w:val="28"/>
          <w:szCs w:val="28"/>
        </w:rPr>
        <w:t xml:space="preserve">Ms. </w:t>
      </w:r>
      <w:r w:rsidR="007C264E">
        <w:rPr>
          <w:rFonts w:asciiTheme="minorHAnsi" w:hAnsiTheme="minorHAnsi"/>
          <w:sz w:val="28"/>
          <w:szCs w:val="28"/>
        </w:rPr>
        <w:t>Rose Gidongo</w:t>
      </w:r>
    </w:p>
    <w:p w:rsidR="00593D09" w:rsidRPr="00D66297" w:rsidRDefault="00593D09" w:rsidP="00593D09">
      <w:pPr>
        <w:spacing w:after="0"/>
        <w:jc w:val="both"/>
        <w:rPr>
          <w:b/>
          <w:sz w:val="28"/>
          <w:szCs w:val="28"/>
        </w:rPr>
      </w:pPr>
    </w:p>
    <w:p w:rsidR="00593D09" w:rsidRDefault="00593D09" w:rsidP="00593D09">
      <w:pPr>
        <w:pStyle w:val="ListParagraph"/>
        <w:ind w:left="0"/>
        <w:jc w:val="center"/>
        <w:rPr>
          <w:rFonts w:asciiTheme="minorHAnsi" w:hAnsiTheme="minorHAnsi"/>
          <w:b/>
          <w:sz w:val="28"/>
          <w:szCs w:val="28"/>
          <w:u w:val="single"/>
        </w:rPr>
      </w:pPr>
      <w:r>
        <w:rPr>
          <w:rFonts w:asciiTheme="minorHAnsi" w:hAnsiTheme="minorHAnsi"/>
          <w:b/>
          <w:sz w:val="28"/>
          <w:szCs w:val="28"/>
          <w:u w:val="single"/>
        </w:rPr>
        <w:t>RULING</w:t>
      </w:r>
    </w:p>
    <w:p w:rsidR="00593D09" w:rsidRDefault="00593D09" w:rsidP="00593D09">
      <w:pPr>
        <w:pStyle w:val="ListParagraph"/>
        <w:ind w:left="0"/>
        <w:jc w:val="center"/>
        <w:rPr>
          <w:rFonts w:asciiTheme="minorHAnsi" w:hAnsiTheme="minorHAnsi"/>
          <w:b/>
          <w:sz w:val="28"/>
          <w:szCs w:val="28"/>
          <w:u w:val="single"/>
        </w:rPr>
      </w:pPr>
    </w:p>
    <w:p w:rsidR="00593D09" w:rsidRDefault="00C812A1" w:rsidP="00D56126">
      <w:pPr>
        <w:pStyle w:val="ListParagraph"/>
        <w:ind w:left="0"/>
        <w:rPr>
          <w:rFonts w:asciiTheme="minorHAnsi" w:hAnsiTheme="minorHAnsi"/>
          <w:sz w:val="28"/>
          <w:szCs w:val="28"/>
        </w:rPr>
      </w:pPr>
      <w:r>
        <w:rPr>
          <w:rFonts w:asciiTheme="minorHAnsi" w:hAnsiTheme="minorHAnsi"/>
          <w:sz w:val="28"/>
          <w:szCs w:val="28"/>
        </w:rPr>
        <w:t>This application seeks an order of stay of execu</w:t>
      </w:r>
      <w:r w:rsidR="008A4F72">
        <w:rPr>
          <w:rFonts w:asciiTheme="minorHAnsi" w:hAnsiTheme="minorHAnsi"/>
          <w:sz w:val="28"/>
          <w:szCs w:val="28"/>
        </w:rPr>
        <w:t xml:space="preserve">tion of a decree arising from </w:t>
      </w:r>
      <w:r>
        <w:rPr>
          <w:rFonts w:asciiTheme="minorHAnsi" w:hAnsiTheme="minorHAnsi"/>
          <w:sz w:val="28"/>
          <w:szCs w:val="28"/>
        </w:rPr>
        <w:t xml:space="preserve"> LDC 261/2015.</w:t>
      </w:r>
    </w:p>
    <w:p w:rsidR="00C812A1" w:rsidRDefault="00C812A1" w:rsidP="00D56126">
      <w:pPr>
        <w:pStyle w:val="ListParagraph"/>
        <w:ind w:left="0"/>
        <w:rPr>
          <w:rFonts w:asciiTheme="minorHAnsi" w:hAnsiTheme="minorHAnsi"/>
          <w:sz w:val="28"/>
          <w:szCs w:val="28"/>
        </w:rPr>
      </w:pPr>
    </w:p>
    <w:p w:rsidR="00C812A1" w:rsidRDefault="00C812A1" w:rsidP="00D56126">
      <w:pPr>
        <w:pStyle w:val="ListParagraph"/>
        <w:ind w:left="0"/>
        <w:rPr>
          <w:rFonts w:asciiTheme="minorHAnsi" w:hAnsiTheme="minorHAnsi"/>
          <w:sz w:val="28"/>
          <w:szCs w:val="28"/>
        </w:rPr>
      </w:pPr>
      <w:r>
        <w:rPr>
          <w:rFonts w:asciiTheme="minorHAnsi" w:hAnsiTheme="minorHAnsi"/>
          <w:sz w:val="28"/>
          <w:szCs w:val="28"/>
        </w:rPr>
        <w:t>Briefly the facts are that the respondent filed a claim against the applicant for wrong</w:t>
      </w:r>
      <w:r w:rsidR="00DD5946">
        <w:rPr>
          <w:rFonts w:asciiTheme="minorHAnsi" w:hAnsiTheme="minorHAnsi"/>
          <w:sz w:val="28"/>
          <w:szCs w:val="28"/>
        </w:rPr>
        <w:t xml:space="preserve">ful termination and when time came for hearing the applicant did not show up and the court proceeded to hear the claim exparte.  Eventually a decree for a total of Ugx. </w:t>
      </w:r>
      <w:r w:rsidR="00B47153">
        <w:rPr>
          <w:rFonts w:asciiTheme="minorHAnsi" w:hAnsiTheme="minorHAnsi"/>
          <w:sz w:val="28"/>
          <w:szCs w:val="28"/>
        </w:rPr>
        <w:t xml:space="preserve">62,600,000/= was passed </w:t>
      </w:r>
      <w:r w:rsidR="00CA0F48">
        <w:rPr>
          <w:rFonts w:asciiTheme="minorHAnsi" w:hAnsiTheme="minorHAnsi"/>
          <w:sz w:val="28"/>
          <w:szCs w:val="28"/>
        </w:rPr>
        <w:t xml:space="preserve">against the applicant with interest on 15/09/2017.    The applicant filed a notice of appeal on 28/11/2017 against the decree of this court and at the same time filed this application.  </w:t>
      </w:r>
    </w:p>
    <w:p w:rsidR="00CA0F48" w:rsidRDefault="00CA0F48" w:rsidP="00D56126">
      <w:pPr>
        <w:pStyle w:val="ListParagraph"/>
        <w:ind w:left="0"/>
        <w:rPr>
          <w:rFonts w:asciiTheme="minorHAnsi" w:hAnsiTheme="minorHAnsi"/>
          <w:sz w:val="28"/>
          <w:szCs w:val="28"/>
        </w:rPr>
      </w:pPr>
    </w:p>
    <w:p w:rsidR="00CA0F48" w:rsidRDefault="00CA0F48" w:rsidP="00D56126">
      <w:pPr>
        <w:pStyle w:val="ListParagraph"/>
        <w:ind w:left="0"/>
        <w:rPr>
          <w:rFonts w:asciiTheme="minorHAnsi" w:hAnsiTheme="minorHAnsi"/>
          <w:sz w:val="28"/>
          <w:szCs w:val="28"/>
        </w:rPr>
      </w:pPr>
      <w:r>
        <w:rPr>
          <w:rFonts w:asciiTheme="minorHAnsi" w:hAnsiTheme="minorHAnsi"/>
          <w:sz w:val="28"/>
          <w:szCs w:val="28"/>
        </w:rPr>
        <w:t>The application is supported by an affidavit to the effect that the respondent already applied for execution yet the applicant is desirous of appealing against the decision of court</w:t>
      </w:r>
      <w:r w:rsidR="008A4F72">
        <w:rPr>
          <w:rFonts w:asciiTheme="minorHAnsi" w:hAnsiTheme="minorHAnsi"/>
          <w:sz w:val="28"/>
          <w:szCs w:val="28"/>
        </w:rPr>
        <w:t xml:space="preserve"> and</w:t>
      </w:r>
      <w:r>
        <w:rPr>
          <w:rFonts w:asciiTheme="minorHAnsi" w:hAnsiTheme="minorHAnsi"/>
          <w:sz w:val="28"/>
          <w:szCs w:val="28"/>
        </w:rPr>
        <w:t xml:space="preserve"> that the applicant having filed a notice of appeal, if the application is not granted the appeal will be rendered nugatory.  The affidavit also states that the application having been filed without any delay will not cause any injustice.</w:t>
      </w:r>
    </w:p>
    <w:p w:rsidR="00237214" w:rsidRDefault="00237214" w:rsidP="00D56126">
      <w:pPr>
        <w:pStyle w:val="ListParagraph"/>
        <w:ind w:left="0"/>
        <w:rPr>
          <w:rFonts w:asciiTheme="minorHAnsi" w:hAnsiTheme="minorHAnsi"/>
          <w:sz w:val="28"/>
          <w:szCs w:val="28"/>
        </w:rPr>
      </w:pPr>
    </w:p>
    <w:p w:rsidR="00237214" w:rsidRDefault="00237214" w:rsidP="00D56126">
      <w:pPr>
        <w:pStyle w:val="ListParagraph"/>
        <w:ind w:left="0"/>
        <w:rPr>
          <w:rFonts w:asciiTheme="minorHAnsi" w:hAnsiTheme="minorHAnsi"/>
          <w:sz w:val="28"/>
          <w:szCs w:val="28"/>
        </w:rPr>
      </w:pPr>
      <w:r>
        <w:rPr>
          <w:rFonts w:asciiTheme="minorHAnsi" w:hAnsiTheme="minorHAnsi"/>
          <w:sz w:val="28"/>
          <w:szCs w:val="28"/>
        </w:rPr>
        <w:lastRenderedPageBreak/>
        <w:t>An affidavit in reply is to the effect that, the applicant has failed to follow up the appeal so as to fix it for hearing which is a delaying tactic.  The affidavit in reply further states that the notice of appeal is invalid having been filed out of time.</w:t>
      </w:r>
    </w:p>
    <w:p w:rsidR="008A4F72" w:rsidRDefault="008A4F72" w:rsidP="00D56126">
      <w:pPr>
        <w:pStyle w:val="ListParagraph"/>
        <w:ind w:left="0"/>
        <w:rPr>
          <w:rFonts w:asciiTheme="minorHAnsi" w:hAnsiTheme="minorHAnsi"/>
          <w:sz w:val="28"/>
          <w:szCs w:val="28"/>
        </w:rPr>
      </w:pPr>
      <w:r>
        <w:rPr>
          <w:rFonts w:asciiTheme="minorHAnsi" w:hAnsiTheme="minorHAnsi"/>
          <w:sz w:val="28"/>
          <w:szCs w:val="28"/>
        </w:rPr>
        <w:t>Both parties</w:t>
      </w:r>
      <w:r w:rsidR="00237214">
        <w:rPr>
          <w:rFonts w:asciiTheme="minorHAnsi" w:hAnsiTheme="minorHAnsi"/>
          <w:sz w:val="28"/>
          <w:szCs w:val="28"/>
        </w:rPr>
        <w:t xml:space="preserve"> opted not to address the court and only filed written submissions, which we now consider in light of the affidavits on record</w:t>
      </w:r>
      <w:r w:rsidR="00FF0850">
        <w:rPr>
          <w:rFonts w:asciiTheme="minorHAnsi" w:hAnsiTheme="minorHAnsi"/>
          <w:sz w:val="28"/>
          <w:szCs w:val="28"/>
        </w:rPr>
        <w:t>.</w:t>
      </w:r>
    </w:p>
    <w:p w:rsidR="00237214" w:rsidRDefault="00FF0850" w:rsidP="00D56126">
      <w:pPr>
        <w:pStyle w:val="ListParagraph"/>
        <w:ind w:left="0"/>
        <w:rPr>
          <w:rFonts w:asciiTheme="minorHAnsi" w:hAnsiTheme="minorHAnsi"/>
          <w:sz w:val="28"/>
          <w:szCs w:val="28"/>
        </w:rPr>
      </w:pPr>
      <w:r>
        <w:rPr>
          <w:rFonts w:asciiTheme="minorHAnsi" w:hAnsiTheme="minorHAnsi"/>
          <w:sz w:val="28"/>
          <w:szCs w:val="28"/>
        </w:rPr>
        <w:t xml:space="preserve"> </w:t>
      </w:r>
    </w:p>
    <w:p w:rsidR="00237214" w:rsidRDefault="00237214" w:rsidP="00D56126">
      <w:pPr>
        <w:pStyle w:val="ListParagraph"/>
        <w:ind w:left="0"/>
        <w:rPr>
          <w:rFonts w:asciiTheme="minorHAnsi" w:hAnsiTheme="minorHAnsi"/>
          <w:sz w:val="28"/>
          <w:szCs w:val="28"/>
        </w:rPr>
      </w:pPr>
      <w:r>
        <w:rPr>
          <w:rFonts w:asciiTheme="minorHAnsi" w:hAnsiTheme="minorHAnsi"/>
          <w:sz w:val="28"/>
          <w:szCs w:val="28"/>
        </w:rPr>
        <w:t>In his</w:t>
      </w:r>
      <w:r w:rsidR="00FF0850">
        <w:rPr>
          <w:rFonts w:asciiTheme="minorHAnsi" w:hAnsiTheme="minorHAnsi"/>
          <w:sz w:val="28"/>
          <w:szCs w:val="28"/>
        </w:rPr>
        <w:t xml:space="preserve"> submission, counsel for the applicant reiterated what was contained in the affidavit of the applicant and just attached a number of authorities without discussing their </w:t>
      </w:r>
      <w:r w:rsidR="00B403E1">
        <w:rPr>
          <w:rFonts w:asciiTheme="minorHAnsi" w:hAnsiTheme="minorHAnsi"/>
          <w:sz w:val="28"/>
          <w:szCs w:val="28"/>
        </w:rPr>
        <w:t>effect on</w:t>
      </w:r>
      <w:r w:rsidR="00FF0850">
        <w:rPr>
          <w:rFonts w:asciiTheme="minorHAnsi" w:hAnsiTheme="minorHAnsi"/>
          <w:sz w:val="28"/>
          <w:szCs w:val="28"/>
        </w:rPr>
        <w:t xml:space="preserve"> the application although he stated that </w:t>
      </w:r>
      <w:r w:rsidR="008A4F72">
        <w:rPr>
          <w:rFonts w:asciiTheme="minorHAnsi" w:hAnsiTheme="minorHAnsi"/>
          <w:sz w:val="28"/>
          <w:szCs w:val="28"/>
        </w:rPr>
        <w:t>t</w:t>
      </w:r>
      <w:r w:rsidR="00FF0850">
        <w:rPr>
          <w:rFonts w:asciiTheme="minorHAnsi" w:hAnsiTheme="minorHAnsi"/>
          <w:sz w:val="28"/>
          <w:szCs w:val="28"/>
        </w:rPr>
        <w:t>his court has inherent powers to allow this application such that the applicant is not denied its right to be heard</w:t>
      </w:r>
      <w:r w:rsidR="00B403E1">
        <w:rPr>
          <w:rFonts w:asciiTheme="minorHAnsi" w:hAnsiTheme="minorHAnsi"/>
          <w:sz w:val="28"/>
          <w:szCs w:val="28"/>
        </w:rPr>
        <w:t>.</w:t>
      </w:r>
    </w:p>
    <w:p w:rsidR="00B403E1" w:rsidRDefault="00B403E1" w:rsidP="00D56126">
      <w:pPr>
        <w:pStyle w:val="ListParagraph"/>
        <w:ind w:left="0"/>
        <w:rPr>
          <w:rFonts w:asciiTheme="minorHAnsi" w:hAnsiTheme="minorHAnsi"/>
          <w:sz w:val="28"/>
          <w:szCs w:val="28"/>
        </w:rPr>
      </w:pPr>
    </w:p>
    <w:p w:rsidR="00B403E1" w:rsidRDefault="00B403E1" w:rsidP="00D56126">
      <w:pPr>
        <w:pStyle w:val="ListParagraph"/>
        <w:ind w:left="0"/>
        <w:rPr>
          <w:rFonts w:asciiTheme="minorHAnsi" w:hAnsiTheme="minorHAnsi"/>
          <w:sz w:val="28"/>
          <w:szCs w:val="28"/>
        </w:rPr>
      </w:pPr>
      <w:r>
        <w:rPr>
          <w:rFonts w:asciiTheme="minorHAnsi" w:hAnsiTheme="minorHAnsi"/>
          <w:sz w:val="28"/>
          <w:szCs w:val="28"/>
        </w:rPr>
        <w:t xml:space="preserve">In reply, relying on the authority of </w:t>
      </w:r>
      <w:r>
        <w:rPr>
          <w:rFonts w:asciiTheme="minorHAnsi" w:hAnsiTheme="minorHAnsi"/>
          <w:b/>
          <w:sz w:val="28"/>
          <w:szCs w:val="28"/>
          <w:u w:val="single"/>
        </w:rPr>
        <w:t>Kalule Vs Nassozi, Misc. Appl. No. 25/2015</w:t>
      </w:r>
      <w:r w:rsidR="008A4F72">
        <w:rPr>
          <w:rFonts w:asciiTheme="minorHAnsi" w:hAnsiTheme="minorHAnsi"/>
          <w:b/>
          <w:sz w:val="28"/>
          <w:szCs w:val="28"/>
          <w:u w:val="single"/>
        </w:rPr>
        <w:t xml:space="preserve"> (</w:t>
      </w:r>
      <w:r w:rsidRPr="00B403E1">
        <w:rPr>
          <w:rFonts w:asciiTheme="minorHAnsi" w:hAnsiTheme="minorHAnsi"/>
          <w:sz w:val="28"/>
          <w:szCs w:val="28"/>
        </w:rPr>
        <w:t>High court</w:t>
      </w:r>
      <w:r w:rsidR="008A4F72">
        <w:rPr>
          <w:rFonts w:asciiTheme="minorHAnsi" w:hAnsiTheme="minorHAnsi"/>
          <w:sz w:val="28"/>
          <w:szCs w:val="28"/>
        </w:rPr>
        <w:t>)</w:t>
      </w:r>
      <w:r w:rsidRPr="00B403E1">
        <w:rPr>
          <w:rFonts w:asciiTheme="minorHAnsi" w:hAnsiTheme="minorHAnsi"/>
          <w:sz w:val="28"/>
          <w:szCs w:val="28"/>
        </w:rPr>
        <w:t xml:space="preserve"> and </w:t>
      </w:r>
      <w:r w:rsidRPr="00B403E1">
        <w:rPr>
          <w:rFonts w:asciiTheme="minorHAnsi" w:hAnsiTheme="minorHAnsi"/>
          <w:b/>
          <w:sz w:val="28"/>
          <w:szCs w:val="28"/>
          <w:u w:val="single"/>
        </w:rPr>
        <w:t>Lawrence Musiitwa</w:t>
      </w:r>
      <w:r w:rsidR="008A4F72">
        <w:rPr>
          <w:rFonts w:asciiTheme="minorHAnsi" w:hAnsiTheme="minorHAnsi"/>
          <w:b/>
          <w:sz w:val="28"/>
          <w:szCs w:val="28"/>
          <w:u w:val="single"/>
        </w:rPr>
        <w:t xml:space="preserve"> </w:t>
      </w:r>
      <w:r w:rsidRPr="00B403E1">
        <w:rPr>
          <w:rFonts w:asciiTheme="minorHAnsi" w:hAnsiTheme="minorHAnsi"/>
          <w:b/>
          <w:sz w:val="28"/>
          <w:szCs w:val="28"/>
          <w:u w:val="single"/>
        </w:rPr>
        <w:t>Kyazze</w:t>
      </w:r>
      <w:r>
        <w:rPr>
          <w:rFonts w:asciiTheme="minorHAnsi" w:hAnsiTheme="minorHAnsi"/>
          <w:b/>
          <w:sz w:val="28"/>
          <w:szCs w:val="28"/>
        </w:rPr>
        <w:t xml:space="preserve"> Vs Unice  Busingye Civil Application 18/1990 </w:t>
      </w:r>
      <w:r w:rsidRPr="00B403E1">
        <w:rPr>
          <w:rFonts w:asciiTheme="minorHAnsi" w:hAnsiTheme="minorHAnsi"/>
          <w:sz w:val="28"/>
          <w:szCs w:val="28"/>
        </w:rPr>
        <w:t>(Supreme Court)</w:t>
      </w:r>
      <w:r>
        <w:rPr>
          <w:rFonts w:asciiTheme="minorHAnsi" w:hAnsiTheme="minorHAnsi"/>
          <w:sz w:val="28"/>
          <w:szCs w:val="28"/>
        </w:rPr>
        <w:t xml:space="preserve"> Counsel for the applicant submitted that the applicant had to prove that:</w:t>
      </w:r>
    </w:p>
    <w:p w:rsidR="00B403E1" w:rsidRPr="00DF0517" w:rsidRDefault="00B403E1" w:rsidP="00D56126">
      <w:pPr>
        <w:pStyle w:val="ListParagraph"/>
        <w:numPr>
          <w:ilvl w:val="0"/>
          <w:numId w:val="3"/>
        </w:numPr>
        <w:rPr>
          <w:rFonts w:asciiTheme="minorHAnsi" w:hAnsiTheme="minorHAnsi"/>
          <w:b/>
          <w:sz w:val="28"/>
          <w:szCs w:val="28"/>
        </w:rPr>
      </w:pPr>
      <w:r>
        <w:rPr>
          <w:rFonts w:asciiTheme="minorHAnsi" w:hAnsiTheme="minorHAnsi"/>
          <w:sz w:val="28"/>
          <w:szCs w:val="28"/>
        </w:rPr>
        <w:t>Substantial loss may result to the par</w:t>
      </w:r>
      <w:r w:rsidR="00DF0517">
        <w:rPr>
          <w:rFonts w:asciiTheme="minorHAnsi" w:hAnsiTheme="minorHAnsi"/>
          <w:sz w:val="28"/>
          <w:szCs w:val="28"/>
        </w:rPr>
        <w:t>ty applying for stay of execution unless the order is made.</w:t>
      </w:r>
    </w:p>
    <w:p w:rsidR="00DF0517" w:rsidRPr="00DF0517" w:rsidRDefault="00DF0517" w:rsidP="00D56126">
      <w:pPr>
        <w:pStyle w:val="ListParagraph"/>
        <w:numPr>
          <w:ilvl w:val="0"/>
          <w:numId w:val="3"/>
        </w:numPr>
        <w:rPr>
          <w:rFonts w:asciiTheme="minorHAnsi" w:hAnsiTheme="minorHAnsi"/>
          <w:b/>
          <w:sz w:val="28"/>
          <w:szCs w:val="28"/>
        </w:rPr>
      </w:pPr>
      <w:r>
        <w:rPr>
          <w:rFonts w:asciiTheme="minorHAnsi" w:hAnsiTheme="minorHAnsi"/>
          <w:sz w:val="28"/>
          <w:szCs w:val="28"/>
        </w:rPr>
        <w:t>The application has been made without any reasonable delay.</w:t>
      </w:r>
    </w:p>
    <w:p w:rsidR="00DF0517" w:rsidRPr="00DF0517" w:rsidRDefault="00DF0517" w:rsidP="00D56126">
      <w:pPr>
        <w:pStyle w:val="ListParagraph"/>
        <w:numPr>
          <w:ilvl w:val="0"/>
          <w:numId w:val="3"/>
        </w:numPr>
        <w:rPr>
          <w:rFonts w:asciiTheme="minorHAnsi" w:hAnsiTheme="minorHAnsi"/>
          <w:b/>
          <w:sz w:val="28"/>
          <w:szCs w:val="28"/>
        </w:rPr>
      </w:pPr>
      <w:r>
        <w:rPr>
          <w:rFonts w:asciiTheme="minorHAnsi" w:hAnsiTheme="minorHAnsi"/>
          <w:sz w:val="28"/>
          <w:szCs w:val="28"/>
        </w:rPr>
        <w:t>Security has been given by the applicant for the due performance of the decree or order as may ultimately be binding upon him or her.</w:t>
      </w:r>
    </w:p>
    <w:p w:rsidR="00896771" w:rsidRDefault="00896771" w:rsidP="00D56126">
      <w:pPr>
        <w:jc w:val="both"/>
        <w:rPr>
          <w:sz w:val="28"/>
          <w:szCs w:val="28"/>
        </w:rPr>
      </w:pPr>
    </w:p>
    <w:p w:rsidR="00DF0517" w:rsidRDefault="00DF0517" w:rsidP="00D56126">
      <w:pPr>
        <w:jc w:val="both"/>
        <w:rPr>
          <w:sz w:val="28"/>
          <w:szCs w:val="28"/>
        </w:rPr>
      </w:pPr>
      <w:r w:rsidRPr="00DF0517">
        <w:rPr>
          <w:sz w:val="28"/>
          <w:szCs w:val="28"/>
        </w:rPr>
        <w:t xml:space="preserve">Counsel for the respondent strongly argued that there was no arguable appeal lodged since according to him, contrary to </w:t>
      </w:r>
      <w:r w:rsidRPr="008A4F72">
        <w:rPr>
          <w:b/>
          <w:sz w:val="28"/>
          <w:szCs w:val="28"/>
        </w:rPr>
        <w:t>Rule 23(2) and (3) of the labour dispute (Arbitration and Settlement) (Industrial Court Procedure Rules, 2012) and the judicature (court of Appeal) Rules, S.I No. 13-10</w:t>
      </w:r>
      <w:r w:rsidR="000A5D23" w:rsidRPr="008A4F72">
        <w:rPr>
          <w:b/>
          <w:sz w:val="28"/>
          <w:szCs w:val="28"/>
        </w:rPr>
        <w:t xml:space="preserve">, </w:t>
      </w:r>
      <w:r w:rsidR="000A5D23" w:rsidRPr="002A0767">
        <w:rPr>
          <w:sz w:val="28"/>
          <w:szCs w:val="28"/>
        </w:rPr>
        <w:t>the appeal was</w:t>
      </w:r>
      <w:r w:rsidR="000A5D23">
        <w:rPr>
          <w:sz w:val="28"/>
          <w:szCs w:val="28"/>
        </w:rPr>
        <w:t xml:space="preserve"> lodged more than </w:t>
      </w:r>
      <w:r w:rsidR="002A0767">
        <w:rPr>
          <w:sz w:val="28"/>
          <w:szCs w:val="28"/>
        </w:rPr>
        <w:t>2 months  from the date of the A</w:t>
      </w:r>
      <w:r w:rsidR="000A5D23">
        <w:rPr>
          <w:sz w:val="28"/>
          <w:szCs w:val="28"/>
        </w:rPr>
        <w:t xml:space="preserve">ward.  This being the case it was his view that this application was serving as a delaying tactic to frustrate the judgement debtors efforts to realize the fruits of </w:t>
      </w:r>
      <w:r w:rsidR="002A0767">
        <w:rPr>
          <w:sz w:val="28"/>
          <w:szCs w:val="28"/>
        </w:rPr>
        <w:t>judgment.  H</w:t>
      </w:r>
      <w:r w:rsidR="000A5D23">
        <w:rPr>
          <w:sz w:val="28"/>
          <w:szCs w:val="28"/>
        </w:rPr>
        <w:t xml:space="preserve">e submitted that in the event that this </w:t>
      </w:r>
      <w:r w:rsidR="00D56126">
        <w:rPr>
          <w:sz w:val="28"/>
          <w:szCs w:val="28"/>
        </w:rPr>
        <w:t>court was</w:t>
      </w:r>
      <w:r w:rsidR="000A5D23">
        <w:rPr>
          <w:sz w:val="28"/>
          <w:szCs w:val="28"/>
        </w:rPr>
        <w:t xml:space="preserve"> inclined to grant the application, the applicant should be ordered to deposit the decretal sum in court as security for </w:t>
      </w:r>
      <w:r w:rsidR="00D56126">
        <w:rPr>
          <w:sz w:val="28"/>
          <w:szCs w:val="28"/>
        </w:rPr>
        <w:t>performance of</w:t>
      </w:r>
      <w:r w:rsidR="000A5D23">
        <w:rPr>
          <w:sz w:val="28"/>
          <w:szCs w:val="28"/>
        </w:rPr>
        <w:t xml:space="preserve"> the decree.</w:t>
      </w:r>
    </w:p>
    <w:p w:rsidR="004835C2" w:rsidRDefault="004835C2" w:rsidP="00D56126">
      <w:pPr>
        <w:jc w:val="both"/>
        <w:rPr>
          <w:sz w:val="28"/>
          <w:szCs w:val="28"/>
        </w:rPr>
      </w:pPr>
      <w:r>
        <w:rPr>
          <w:sz w:val="28"/>
          <w:szCs w:val="28"/>
        </w:rPr>
        <w:t>We have perused carefully the Notice of motion together with the supporting affidavit.  We have also perused carefully the affidavit in reply as well as the affidavit in rejoinder.</w:t>
      </w:r>
    </w:p>
    <w:p w:rsidR="004835C2" w:rsidRDefault="004835C2" w:rsidP="00D56126">
      <w:pPr>
        <w:jc w:val="both"/>
        <w:rPr>
          <w:sz w:val="28"/>
          <w:szCs w:val="28"/>
        </w:rPr>
      </w:pPr>
    </w:p>
    <w:p w:rsidR="004835C2" w:rsidRDefault="002A0767" w:rsidP="00D56126">
      <w:pPr>
        <w:jc w:val="both"/>
        <w:rPr>
          <w:sz w:val="28"/>
          <w:szCs w:val="28"/>
        </w:rPr>
      </w:pPr>
      <w:r>
        <w:rPr>
          <w:sz w:val="28"/>
          <w:szCs w:val="28"/>
        </w:rPr>
        <w:t xml:space="preserve">It </w:t>
      </w:r>
      <w:r w:rsidR="004835C2">
        <w:rPr>
          <w:sz w:val="28"/>
          <w:szCs w:val="28"/>
        </w:rPr>
        <w:t xml:space="preserve"> trite that once a court of law pronounces judgement, the beneficiary of the judgement is expected to enjoy the fruits of the judgement</w:t>
      </w:r>
      <w:r w:rsidR="00A96350">
        <w:rPr>
          <w:sz w:val="28"/>
          <w:szCs w:val="28"/>
        </w:rPr>
        <w:t xml:space="preserve"> and this is ordinarily done through the process of execution.</w:t>
      </w:r>
    </w:p>
    <w:p w:rsidR="007B0FF0" w:rsidRDefault="007B0FF0" w:rsidP="00D56126">
      <w:pPr>
        <w:jc w:val="both"/>
        <w:rPr>
          <w:sz w:val="28"/>
          <w:szCs w:val="28"/>
        </w:rPr>
      </w:pPr>
      <w:r>
        <w:rPr>
          <w:sz w:val="28"/>
          <w:szCs w:val="28"/>
        </w:rPr>
        <w:t xml:space="preserve">However, </w:t>
      </w:r>
      <w:r w:rsidR="002D2700">
        <w:rPr>
          <w:sz w:val="28"/>
          <w:szCs w:val="28"/>
        </w:rPr>
        <w:t>the process</w:t>
      </w:r>
      <w:r>
        <w:rPr>
          <w:sz w:val="28"/>
          <w:szCs w:val="28"/>
        </w:rPr>
        <w:t xml:space="preserve"> of stay of execution is necessary once the appeal is pending so as to protect the subject matter in dispute and so that the rights of the appellant are guarded and the appeal if successful is not rendered nugatory.</w:t>
      </w:r>
    </w:p>
    <w:p w:rsidR="002D2700" w:rsidRDefault="002D2700" w:rsidP="00D56126">
      <w:pPr>
        <w:jc w:val="both"/>
        <w:rPr>
          <w:sz w:val="28"/>
          <w:szCs w:val="28"/>
        </w:rPr>
      </w:pPr>
      <w:r>
        <w:rPr>
          <w:sz w:val="28"/>
          <w:szCs w:val="28"/>
        </w:rPr>
        <w:t>The  gist of the submissions of counsel for the applicant in this appl</w:t>
      </w:r>
      <w:r w:rsidR="002A0767">
        <w:rPr>
          <w:sz w:val="28"/>
          <w:szCs w:val="28"/>
        </w:rPr>
        <w:t>ication, as we understand it, is</w:t>
      </w:r>
      <w:r>
        <w:rPr>
          <w:sz w:val="28"/>
          <w:szCs w:val="28"/>
        </w:rPr>
        <w:t xml:space="preserve"> that once a notice of appeal is filed and the applicant has applied for  the lower court proceedings execution should be stayed until the disposal of the appeal.</w:t>
      </w:r>
    </w:p>
    <w:p w:rsidR="00011CD1" w:rsidRDefault="002A0767" w:rsidP="00D56126">
      <w:pPr>
        <w:jc w:val="both"/>
        <w:rPr>
          <w:sz w:val="28"/>
          <w:szCs w:val="28"/>
        </w:rPr>
      </w:pPr>
      <w:r>
        <w:rPr>
          <w:sz w:val="28"/>
          <w:szCs w:val="28"/>
        </w:rPr>
        <w:t xml:space="preserve">This position contradicts </w:t>
      </w:r>
      <w:r w:rsidR="00011CD1">
        <w:rPr>
          <w:sz w:val="28"/>
          <w:szCs w:val="28"/>
        </w:rPr>
        <w:t xml:space="preserve"> the position stated by the supreme court</w:t>
      </w:r>
      <w:r>
        <w:rPr>
          <w:sz w:val="28"/>
          <w:szCs w:val="28"/>
        </w:rPr>
        <w:t xml:space="preserve"> in the</w:t>
      </w:r>
      <w:r w:rsidR="00011CD1">
        <w:rPr>
          <w:sz w:val="28"/>
          <w:szCs w:val="28"/>
        </w:rPr>
        <w:t xml:space="preserve"> case </w:t>
      </w:r>
      <w:r w:rsidR="00E31E78">
        <w:rPr>
          <w:sz w:val="28"/>
          <w:szCs w:val="28"/>
        </w:rPr>
        <w:t xml:space="preserve">of </w:t>
      </w:r>
      <w:r w:rsidR="003B265B" w:rsidRPr="002A0767">
        <w:rPr>
          <w:b/>
          <w:sz w:val="28"/>
          <w:szCs w:val="28"/>
        </w:rPr>
        <w:t>LAWRENCE</w:t>
      </w:r>
      <w:r w:rsidR="007A4582">
        <w:rPr>
          <w:b/>
          <w:sz w:val="28"/>
          <w:szCs w:val="28"/>
        </w:rPr>
        <w:t xml:space="preserve"> </w:t>
      </w:r>
      <w:r w:rsidR="003B265B">
        <w:rPr>
          <w:b/>
          <w:sz w:val="28"/>
          <w:szCs w:val="28"/>
        </w:rPr>
        <w:t>KYAZZE</w:t>
      </w:r>
      <w:r w:rsidR="00BF0E95">
        <w:rPr>
          <w:b/>
          <w:sz w:val="28"/>
          <w:szCs w:val="28"/>
        </w:rPr>
        <w:t xml:space="preserve"> Vs </w:t>
      </w:r>
      <w:r w:rsidR="007A4582">
        <w:rPr>
          <w:b/>
          <w:sz w:val="28"/>
          <w:szCs w:val="28"/>
          <w:u w:val="single"/>
        </w:rPr>
        <w:t>EUNICE</w:t>
      </w:r>
      <w:r w:rsidR="00BF0E95" w:rsidRPr="002A0767">
        <w:rPr>
          <w:b/>
          <w:sz w:val="28"/>
          <w:szCs w:val="28"/>
          <w:u w:val="single"/>
        </w:rPr>
        <w:t xml:space="preserve"> B</w:t>
      </w:r>
      <w:r w:rsidR="007A4582">
        <w:rPr>
          <w:b/>
          <w:sz w:val="28"/>
          <w:szCs w:val="28"/>
          <w:u w:val="single"/>
        </w:rPr>
        <w:t>USINGYE</w:t>
      </w:r>
      <w:r w:rsidR="00E31E78" w:rsidRPr="002A0767">
        <w:rPr>
          <w:b/>
          <w:sz w:val="28"/>
          <w:szCs w:val="28"/>
        </w:rPr>
        <w:t xml:space="preserve"> civil application </w:t>
      </w:r>
      <w:r w:rsidR="00A95CA5" w:rsidRPr="002A0767">
        <w:rPr>
          <w:b/>
          <w:sz w:val="28"/>
          <w:szCs w:val="28"/>
        </w:rPr>
        <w:t>No. 18/1990</w:t>
      </w:r>
      <w:r w:rsidR="00392139">
        <w:rPr>
          <w:sz w:val="28"/>
          <w:szCs w:val="28"/>
        </w:rPr>
        <w:t xml:space="preserve"> whose hol</w:t>
      </w:r>
      <w:r w:rsidR="00A95CA5">
        <w:rPr>
          <w:sz w:val="28"/>
          <w:szCs w:val="28"/>
        </w:rPr>
        <w:t>ding is to the effect that the applicant in</w:t>
      </w:r>
      <w:r w:rsidR="00392139">
        <w:rPr>
          <w:sz w:val="28"/>
          <w:szCs w:val="28"/>
        </w:rPr>
        <w:t xml:space="preserve"> an</w:t>
      </w:r>
      <w:r w:rsidR="00A95CA5">
        <w:rPr>
          <w:sz w:val="28"/>
          <w:szCs w:val="28"/>
        </w:rPr>
        <w:t xml:space="preserve"> application for stay of execution pending appeal must be prepared to meet conditions set out in </w:t>
      </w:r>
      <w:r w:rsidR="00A95CA5" w:rsidRPr="00392139">
        <w:rPr>
          <w:b/>
          <w:sz w:val="28"/>
          <w:szCs w:val="28"/>
        </w:rPr>
        <w:t>order 43 rule</w:t>
      </w:r>
      <w:r w:rsidR="00A95CA5">
        <w:rPr>
          <w:sz w:val="28"/>
          <w:szCs w:val="28"/>
        </w:rPr>
        <w:t xml:space="preserve"> </w:t>
      </w:r>
      <w:r w:rsidR="00A95CA5" w:rsidRPr="00392139">
        <w:rPr>
          <w:b/>
          <w:sz w:val="28"/>
          <w:szCs w:val="28"/>
        </w:rPr>
        <w:t>4(3) of the civil procedure rules</w:t>
      </w:r>
      <w:r w:rsidR="00A95CA5">
        <w:rPr>
          <w:sz w:val="28"/>
          <w:szCs w:val="28"/>
        </w:rPr>
        <w:t xml:space="preserve"> which include payment for security for costs.</w:t>
      </w:r>
    </w:p>
    <w:p w:rsidR="00751784" w:rsidRDefault="00751784" w:rsidP="00D56126">
      <w:pPr>
        <w:jc w:val="both"/>
        <w:rPr>
          <w:sz w:val="28"/>
          <w:szCs w:val="28"/>
        </w:rPr>
      </w:pPr>
      <w:r>
        <w:rPr>
          <w:sz w:val="28"/>
          <w:szCs w:val="28"/>
        </w:rPr>
        <w:t>On checking the court record we find that this application was filed on 28</w:t>
      </w:r>
      <w:r w:rsidR="00392139">
        <w:rPr>
          <w:sz w:val="28"/>
          <w:szCs w:val="28"/>
        </w:rPr>
        <w:t>/11/2017 while the A</w:t>
      </w:r>
      <w:r>
        <w:rPr>
          <w:sz w:val="28"/>
          <w:szCs w:val="28"/>
        </w:rPr>
        <w:t>ward to be stayed was delivered on 15/09/2017.</w:t>
      </w:r>
    </w:p>
    <w:p w:rsidR="0049615E" w:rsidRDefault="0049615E" w:rsidP="00D56126">
      <w:pPr>
        <w:jc w:val="both"/>
        <w:rPr>
          <w:sz w:val="28"/>
          <w:szCs w:val="28"/>
        </w:rPr>
      </w:pPr>
      <w:r>
        <w:rPr>
          <w:sz w:val="28"/>
          <w:szCs w:val="28"/>
        </w:rPr>
        <w:t xml:space="preserve">The </w:t>
      </w:r>
      <w:r w:rsidRPr="00392139">
        <w:rPr>
          <w:b/>
          <w:sz w:val="28"/>
          <w:szCs w:val="28"/>
        </w:rPr>
        <w:t xml:space="preserve">Labour </w:t>
      </w:r>
      <w:r w:rsidR="003B265B" w:rsidRPr="00392139">
        <w:rPr>
          <w:b/>
          <w:sz w:val="28"/>
          <w:szCs w:val="28"/>
        </w:rPr>
        <w:t>Dispute</w:t>
      </w:r>
      <w:r w:rsidRPr="00392139">
        <w:rPr>
          <w:b/>
          <w:sz w:val="28"/>
          <w:szCs w:val="28"/>
        </w:rPr>
        <w:t xml:space="preserve"> (Arbitration &amp; Settlement) (Industrial court Procedure</w:t>
      </w:r>
      <w:r>
        <w:rPr>
          <w:sz w:val="28"/>
          <w:szCs w:val="28"/>
        </w:rPr>
        <w:t xml:space="preserve"> </w:t>
      </w:r>
      <w:r w:rsidRPr="00392139">
        <w:rPr>
          <w:b/>
          <w:sz w:val="28"/>
          <w:szCs w:val="28"/>
        </w:rPr>
        <w:t>Rules</w:t>
      </w:r>
      <w:r w:rsidR="003B265B" w:rsidRPr="00392139">
        <w:rPr>
          <w:b/>
          <w:sz w:val="28"/>
          <w:szCs w:val="28"/>
        </w:rPr>
        <w:t>,</w:t>
      </w:r>
      <w:r w:rsidR="00392139">
        <w:rPr>
          <w:sz w:val="28"/>
          <w:szCs w:val="28"/>
        </w:rPr>
        <w:t xml:space="preserve"> </w:t>
      </w:r>
      <w:r w:rsidR="00392139" w:rsidRPr="00392139">
        <w:rPr>
          <w:b/>
          <w:sz w:val="28"/>
          <w:szCs w:val="28"/>
        </w:rPr>
        <w:t>2012</w:t>
      </w:r>
      <w:r w:rsidR="00392139">
        <w:rPr>
          <w:b/>
          <w:sz w:val="28"/>
          <w:szCs w:val="28"/>
        </w:rPr>
        <w:t>)</w:t>
      </w:r>
      <w:r w:rsidR="00392139" w:rsidRPr="00392139">
        <w:rPr>
          <w:b/>
          <w:sz w:val="28"/>
          <w:szCs w:val="28"/>
        </w:rPr>
        <w:t xml:space="preserve"> rule 23</w:t>
      </w:r>
      <w:r w:rsidR="00392139">
        <w:rPr>
          <w:sz w:val="28"/>
          <w:szCs w:val="28"/>
        </w:rPr>
        <w:t xml:space="preserve"> provides that appeals from this Court are made under the </w:t>
      </w:r>
      <w:r w:rsidR="00392139" w:rsidRPr="00392139">
        <w:rPr>
          <w:b/>
          <w:sz w:val="28"/>
          <w:szCs w:val="28"/>
        </w:rPr>
        <w:t>Judicature Act(Court of Appeal Rules</w:t>
      </w:r>
      <w:r w:rsidR="00392139">
        <w:rPr>
          <w:sz w:val="28"/>
          <w:szCs w:val="28"/>
        </w:rPr>
        <w:t>)</w:t>
      </w:r>
      <w:r w:rsidR="003B265B" w:rsidRPr="00392139">
        <w:rPr>
          <w:b/>
          <w:sz w:val="28"/>
          <w:szCs w:val="28"/>
        </w:rPr>
        <w:t xml:space="preserve"> S1 No. 13-10 </w:t>
      </w:r>
      <w:r w:rsidR="003B265B" w:rsidRPr="00392139">
        <w:rPr>
          <w:sz w:val="28"/>
          <w:szCs w:val="28"/>
        </w:rPr>
        <w:t>under which</w:t>
      </w:r>
      <w:r w:rsidR="003B265B" w:rsidRPr="00392139">
        <w:rPr>
          <w:b/>
          <w:sz w:val="28"/>
          <w:szCs w:val="28"/>
        </w:rPr>
        <w:t xml:space="preserve"> rule 76(2) thereof</w:t>
      </w:r>
      <w:r w:rsidR="003B265B">
        <w:rPr>
          <w:sz w:val="28"/>
          <w:szCs w:val="28"/>
        </w:rPr>
        <w:t xml:space="preserve"> provides for a notice of appeal to be lodged within 14 days of the decision against which the appeal is sought.</w:t>
      </w:r>
    </w:p>
    <w:p w:rsidR="003B265B" w:rsidRDefault="003B265B" w:rsidP="00D56126">
      <w:pPr>
        <w:jc w:val="both"/>
        <w:rPr>
          <w:sz w:val="28"/>
          <w:szCs w:val="28"/>
        </w:rPr>
      </w:pPr>
      <w:r>
        <w:rPr>
          <w:sz w:val="28"/>
          <w:szCs w:val="28"/>
        </w:rPr>
        <w:t>In the instant case, the notice</w:t>
      </w:r>
      <w:r w:rsidR="0039566F">
        <w:rPr>
          <w:sz w:val="28"/>
          <w:szCs w:val="28"/>
        </w:rPr>
        <w:t xml:space="preserve"> of appeal was lodged long</w:t>
      </w:r>
      <w:r>
        <w:rPr>
          <w:sz w:val="28"/>
          <w:szCs w:val="28"/>
        </w:rPr>
        <w:t xml:space="preserve"> after the 14 days.  We agree with the submission of counsel for the respondent that in the absence of an order of this court or any other competent court granting extension of time within which to file the notice of appeal, such notice of appeal cannot be said to exist.   The none existence of the notice of appeal itself in our view collapses this application since it remains without any base, this having been the gist of t</w:t>
      </w:r>
      <w:r w:rsidR="007A159C">
        <w:rPr>
          <w:sz w:val="28"/>
          <w:szCs w:val="28"/>
        </w:rPr>
        <w:t>he submissions of the applicant</w:t>
      </w:r>
      <w:r>
        <w:rPr>
          <w:sz w:val="28"/>
          <w:szCs w:val="28"/>
        </w:rPr>
        <w:t>.</w:t>
      </w:r>
    </w:p>
    <w:p w:rsidR="005735F9" w:rsidRDefault="005735F9" w:rsidP="00D56126">
      <w:pPr>
        <w:jc w:val="both"/>
        <w:rPr>
          <w:sz w:val="28"/>
          <w:szCs w:val="28"/>
        </w:rPr>
      </w:pPr>
      <w:r>
        <w:rPr>
          <w:sz w:val="28"/>
          <w:szCs w:val="28"/>
        </w:rPr>
        <w:lastRenderedPageBreak/>
        <w:t xml:space="preserve">We agree with the submission of counsel for the </w:t>
      </w:r>
      <w:r w:rsidR="0039566F">
        <w:rPr>
          <w:sz w:val="28"/>
          <w:szCs w:val="28"/>
        </w:rPr>
        <w:t>respondent that in applications of this nature</w:t>
      </w:r>
      <w:r>
        <w:rPr>
          <w:sz w:val="28"/>
          <w:szCs w:val="28"/>
        </w:rPr>
        <w:t xml:space="preserve"> the applicant has to establish that substantial loss may result to him/her if the application was not granted. </w:t>
      </w:r>
    </w:p>
    <w:p w:rsidR="003C0950" w:rsidRDefault="003C0950" w:rsidP="00D56126">
      <w:pPr>
        <w:jc w:val="both"/>
        <w:rPr>
          <w:sz w:val="28"/>
          <w:szCs w:val="28"/>
        </w:rPr>
      </w:pPr>
      <w:r>
        <w:rPr>
          <w:sz w:val="28"/>
          <w:szCs w:val="28"/>
        </w:rPr>
        <w:t xml:space="preserve">There was nothing close to showing this court any loss that might </w:t>
      </w:r>
      <w:r w:rsidR="00DB7D77">
        <w:rPr>
          <w:sz w:val="28"/>
          <w:szCs w:val="28"/>
        </w:rPr>
        <w:t>occur</w:t>
      </w:r>
      <w:r>
        <w:rPr>
          <w:sz w:val="28"/>
          <w:szCs w:val="28"/>
        </w:rPr>
        <w:t xml:space="preserve"> to the applicant in the event of this court’s refusal to grant the application.</w:t>
      </w:r>
    </w:p>
    <w:p w:rsidR="003C0950" w:rsidRDefault="003C0950" w:rsidP="00D56126">
      <w:pPr>
        <w:jc w:val="both"/>
        <w:rPr>
          <w:sz w:val="28"/>
          <w:szCs w:val="28"/>
        </w:rPr>
      </w:pPr>
      <w:r>
        <w:rPr>
          <w:sz w:val="28"/>
          <w:szCs w:val="28"/>
        </w:rPr>
        <w:t xml:space="preserve">Consequently, in the absence of </w:t>
      </w:r>
      <w:r w:rsidR="0039566F">
        <w:rPr>
          <w:sz w:val="28"/>
          <w:szCs w:val="28"/>
        </w:rPr>
        <w:t xml:space="preserve">a </w:t>
      </w:r>
      <w:r>
        <w:rPr>
          <w:sz w:val="28"/>
          <w:szCs w:val="28"/>
        </w:rPr>
        <w:t>valid notice of appeal, in the a</w:t>
      </w:r>
      <w:r w:rsidR="00DB7D77">
        <w:rPr>
          <w:sz w:val="28"/>
          <w:szCs w:val="28"/>
        </w:rPr>
        <w:t xml:space="preserve">bsence of evidence of security </w:t>
      </w:r>
      <w:r>
        <w:rPr>
          <w:sz w:val="28"/>
          <w:szCs w:val="28"/>
        </w:rPr>
        <w:t>for costs and in the absence of evidence of substantial loss, this</w:t>
      </w:r>
      <w:r w:rsidR="0039566F">
        <w:rPr>
          <w:sz w:val="28"/>
          <w:szCs w:val="28"/>
        </w:rPr>
        <w:t xml:space="preserve"> court is reluctant to allow the</w:t>
      </w:r>
      <w:r>
        <w:rPr>
          <w:sz w:val="28"/>
          <w:szCs w:val="28"/>
        </w:rPr>
        <w:t xml:space="preserve"> application.  The </w:t>
      </w:r>
      <w:r w:rsidR="00DB7D77">
        <w:rPr>
          <w:sz w:val="28"/>
          <w:szCs w:val="28"/>
        </w:rPr>
        <w:t>circumstances</w:t>
      </w:r>
      <w:r>
        <w:rPr>
          <w:sz w:val="28"/>
          <w:szCs w:val="28"/>
        </w:rPr>
        <w:t xml:space="preserve"> tend to show that the applicant is using the appeal process only to frustrate the execution of the orders of </w:t>
      </w:r>
      <w:r w:rsidR="00DB7D77">
        <w:rPr>
          <w:sz w:val="28"/>
          <w:szCs w:val="28"/>
        </w:rPr>
        <w:t>this</w:t>
      </w:r>
      <w:r>
        <w:rPr>
          <w:sz w:val="28"/>
          <w:szCs w:val="28"/>
        </w:rPr>
        <w:t xml:space="preserve"> court.  However, if the applicant is really interested in the appeal in the sincere belief that the</w:t>
      </w:r>
      <w:r w:rsidR="00DB7D77">
        <w:rPr>
          <w:sz w:val="28"/>
          <w:szCs w:val="28"/>
        </w:rPr>
        <w:t xml:space="preserve"> appeal will succeed without any intentions of frustrating the respondent in the pursuit of the benefits of his judgement, we hereby grant that if the decretal amount or a b</w:t>
      </w:r>
      <w:r w:rsidR="0039566F">
        <w:rPr>
          <w:sz w:val="28"/>
          <w:szCs w:val="28"/>
        </w:rPr>
        <w:t>ank guarante</w:t>
      </w:r>
      <w:r w:rsidR="00DB7D77">
        <w:rPr>
          <w:sz w:val="28"/>
          <w:szCs w:val="28"/>
        </w:rPr>
        <w:t xml:space="preserve">e of either </w:t>
      </w:r>
      <w:r w:rsidR="00DB7D77" w:rsidRPr="0039566F">
        <w:rPr>
          <w:b/>
          <w:sz w:val="28"/>
          <w:szCs w:val="28"/>
        </w:rPr>
        <w:t>Barclays, DFCU, Stanbic or Standard Chartered Banks</w:t>
      </w:r>
      <w:r w:rsidR="00DB7D77">
        <w:rPr>
          <w:sz w:val="28"/>
          <w:szCs w:val="28"/>
        </w:rPr>
        <w:t xml:space="preserve"> be deposited into</w:t>
      </w:r>
      <w:r w:rsidR="0039566F">
        <w:rPr>
          <w:sz w:val="28"/>
          <w:szCs w:val="28"/>
        </w:rPr>
        <w:t xml:space="preserve"> Court</w:t>
      </w:r>
      <w:r w:rsidR="00DB7D77">
        <w:rPr>
          <w:sz w:val="28"/>
          <w:szCs w:val="28"/>
        </w:rPr>
        <w:t xml:space="preserve"> as security </w:t>
      </w:r>
      <w:r w:rsidR="0039566F">
        <w:rPr>
          <w:sz w:val="28"/>
          <w:szCs w:val="28"/>
        </w:rPr>
        <w:t>then execution will be stayed. Otherwise the application fails.</w:t>
      </w:r>
    </w:p>
    <w:p w:rsidR="00DB7D77" w:rsidRPr="00BF0E95" w:rsidRDefault="00DB7D77" w:rsidP="00D56126">
      <w:pPr>
        <w:jc w:val="both"/>
        <w:rPr>
          <w:sz w:val="28"/>
          <w:szCs w:val="28"/>
        </w:rPr>
      </w:pPr>
      <w:r>
        <w:rPr>
          <w:sz w:val="28"/>
          <w:szCs w:val="28"/>
        </w:rPr>
        <w:t>No order as to costs is made.</w:t>
      </w:r>
    </w:p>
    <w:p w:rsidR="007C264E" w:rsidRDefault="007C264E" w:rsidP="00896771">
      <w:pPr>
        <w:spacing w:after="0"/>
        <w:jc w:val="both"/>
        <w:rPr>
          <w:rFonts w:cs="Calibri"/>
          <w:b/>
          <w:sz w:val="28"/>
          <w:szCs w:val="28"/>
          <w:u w:val="single"/>
        </w:rPr>
      </w:pPr>
    </w:p>
    <w:p w:rsidR="00896771" w:rsidRPr="00D66297" w:rsidRDefault="00896771" w:rsidP="00896771">
      <w:pPr>
        <w:spacing w:after="0"/>
        <w:jc w:val="both"/>
        <w:rPr>
          <w:rFonts w:cs="Calibri"/>
          <w:b/>
          <w:sz w:val="28"/>
          <w:szCs w:val="28"/>
          <w:u w:val="single"/>
        </w:rPr>
      </w:pPr>
      <w:r>
        <w:rPr>
          <w:rFonts w:cs="Calibri"/>
          <w:b/>
          <w:sz w:val="28"/>
          <w:szCs w:val="28"/>
          <w:u w:val="single"/>
        </w:rPr>
        <w:t>SIGNED BY:</w:t>
      </w:r>
    </w:p>
    <w:p w:rsidR="00896771" w:rsidRPr="00D66297" w:rsidRDefault="00896771" w:rsidP="00896771">
      <w:pPr>
        <w:spacing w:after="0" w:line="360" w:lineRule="auto"/>
        <w:jc w:val="both"/>
        <w:rPr>
          <w:rFonts w:cs="Calibri"/>
          <w:sz w:val="28"/>
          <w:szCs w:val="28"/>
        </w:rPr>
      </w:pPr>
      <w:r w:rsidRPr="00D66297">
        <w:rPr>
          <w:rFonts w:cs="Calibri"/>
          <w:sz w:val="28"/>
          <w:szCs w:val="28"/>
        </w:rPr>
        <w:t xml:space="preserve">1. Hon. Chief Judge Ruhinda Asaph Ntengye                      </w:t>
      </w:r>
      <w:r w:rsidR="007C264E">
        <w:rPr>
          <w:rFonts w:cs="Calibri"/>
          <w:sz w:val="28"/>
          <w:szCs w:val="28"/>
        </w:rPr>
        <w:t xml:space="preserve"> </w:t>
      </w:r>
      <w:r>
        <w:rPr>
          <w:rFonts w:cs="Calibri"/>
          <w:sz w:val="28"/>
          <w:szCs w:val="28"/>
        </w:rPr>
        <w:t>…………………………..</w:t>
      </w:r>
    </w:p>
    <w:p w:rsidR="00896771" w:rsidRPr="00D66297" w:rsidRDefault="00896771" w:rsidP="00896771">
      <w:pPr>
        <w:spacing w:after="0" w:line="360" w:lineRule="auto"/>
        <w:jc w:val="both"/>
        <w:rPr>
          <w:rFonts w:cs="Calibri"/>
          <w:sz w:val="28"/>
          <w:szCs w:val="28"/>
        </w:rPr>
      </w:pPr>
      <w:r w:rsidRPr="00D66297">
        <w:rPr>
          <w:rFonts w:cs="Calibri"/>
          <w:sz w:val="28"/>
          <w:szCs w:val="28"/>
        </w:rPr>
        <w:t>2. Hon. Lady Justice Linda Tumusiime Mugisha</w:t>
      </w:r>
      <w:r>
        <w:rPr>
          <w:rFonts w:cs="Calibri"/>
          <w:sz w:val="28"/>
          <w:szCs w:val="28"/>
        </w:rPr>
        <w:tab/>
      </w:r>
      <w:r>
        <w:rPr>
          <w:rFonts w:cs="Calibri"/>
          <w:sz w:val="28"/>
          <w:szCs w:val="28"/>
        </w:rPr>
        <w:tab/>
        <w:t>…………………………..</w:t>
      </w:r>
    </w:p>
    <w:p w:rsidR="007C264E" w:rsidRDefault="007C264E" w:rsidP="00896771">
      <w:pPr>
        <w:spacing w:after="0"/>
        <w:jc w:val="both"/>
        <w:rPr>
          <w:rFonts w:cs="Calibri"/>
          <w:b/>
          <w:sz w:val="28"/>
          <w:szCs w:val="28"/>
          <w:u w:val="single"/>
        </w:rPr>
      </w:pPr>
    </w:p>
    <w:p w:rsidR="00896771" w:rsidRPr="00D66297" w:rsidRDefault="00896771" w:rsidP="00896771">
      <w:pPr>
        <w:spacing w:after="0"/>
        <w:jc w:val="both"/>
        <w:rPr>
          <w:rFonts w:cs="Calibri"/>
          <w:b/>
          <w:sz w:val="28"/>
          <w:szCs w:val="28"/>
          <w:u w:val="single"/>
        </w:rPr>
      </w:pPr>
      <w:r w:rsidRPr="00D66297">
        <w:rPr>
          <w:rFonts w:cs="Calibri"/>
          <w:b/>
          <w:sz w:val="28"/>
          <w:szCs w:val="28"/>
          <w:u w:val="single"/>
        </w:rPr>
        <w:t>PANELISTS</w:t>
      </w:r>
    </w:p>
    <w:p w:rsidR="00896771" w:rsidRPr="00D66297" w:rsidRDefault="00896771" w:rsidP="00896771">
      <w:pPr>
        <w:pStyle w:val="ListParagraph"/>
        <w:numPr>
          <w:ilvl w:val="0"/>
          <w:numId w:val="4"/>
        </w:numPr>
        <w:spacing w:line="360" w:lineRule="auto"/>
        <w:rPr>
          <w:rFonts w:asciiTheme="minorHAnsi" w:hAnsiTheme="minorHAnsi"/>
          <w:sz w:val="28"/>
          <w:szCs w:val="28"/>
        </w:rPr>
      </w:pPr>
      <w:r w:rsidRPr="00D66297">
        <w:rPr>
          <w:rFonts w:asciiTheme="minorHAnsi" w:hAnsiTheme="minorHAnsi"/>
          <w:sz w:val="28"/>
          <w:szCs w:val="28"/>
        </w:rPr>
        <w:t xml:space="preserve">Mr. </w:t>
      </w:r>
      <w:r w:rsidR="007C264E">
        <w:rPr>
          <w:rFonts w:asciiTheme="minorHAnsi" w:hAnsiTheme="minorHAnsi"/>
          <w:sz w:val="28"/>
          <w:szCs w:val="28"/>
        </w:rPr>
        <w:t>Rwomushana Jack Reuben</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cs="Calibri"/>
          <w:sz w:val="28"/>
          <w:szCs w:val="28"/>
        </w:rPr>
        <w:t>…………………………..</w:t>
      </w:r>
    </w:p>
    <w:p w:rsidR="00896771" w:rsidRPr="00D66297" w:rsidRDefault="00896771" w:rsidP="00896771">
      <w:pPr>
        <w:pStyle w:val="ListParagraph"/>
        <w:numPr>
          <w:ilvl w:val="0"/>
          <w:numId w:val="4"/>
        </w:numPr>
        <w:spacing w:line="360" w:lineRule="auto"/>
        <w:rPr>
          <w:rFonts w:asciiTheme="minorHAnsi" w:hAnsiTheme="minorHAnsi"/>
          <w:sz w:val="28"/>
          <w:szCs w:val="28"/>
        </w:rPr>
      </w:pPr>
      <w:r w:rsidRPr="00D66297">
        <w:rPr>
          <w:rFonts w:asciiTheme="minorHAnsi" w:hAnsiTheme="minorHAnsi"/>
          <w:sz w:val="28"/>
          <w:szCs w:val="28"/>
        </w:rPr>
        <w:t xml:space="preserve">Mr. </w:t>
      </w:r>
      <w:r w:rsidR="007C264E">
        <w:rPr>
          <w:rFonts w:asciiTheme="minorHAnsi" w:hAnsiTheme="minorHAnsi"/>
          <w:sz w:val="28"/>
          <w:szCs w:val="28"/>
        </w:rPr>
        <w:t>Anthony Wanyama</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cs="Calibri"/>
          <w:sz w:val="28"/>
          <w:szCs w:val="28"/>
        </w:rPr>
        <w:t>…………………………..</w:t>
      </w:r>
    </w:p>
    <w:p w:rsidR="00896771" w:rsidRPr="00D66297" w:rsidRDefault="00896771" w:rsidP="00896771">
      <w:pPr>
        <w:pStyle w:val="ListParagraph"/>
        <w:numPr>
          <w:ilvl w:val="0"/>
          <w:numId w:val="4"/>
        </w:numPr>
        <w:spacing w:line="360" w:lineRule="auto"/>
        <w:rPr>
          <w:rFonts w:asciiTheme="minorHAnsi" w:hAnsiTheme="minorHAnsi"/>
          <w:sz w:val="28"/>
          <w:szCs w:val="28"/>
        </w:rPr>
      </w:pPr>
      <w:r w:rsidRPr="00D66297">
        <w:rPr>
          <w:rFonts w:asciiTheme="minorHAnsi" w:hAnsiTheme="minorHAnsi"/>
          <w:sz w:val="28"/>
          <w:szCs w:val="28"/>
        </w:rPr>
        <w:t xml:space="preserve">Ms. </w:t>
      </w:r>
      <w:r w:rsidR="007C264E">
        <w:rPr>
          <w:rFonts w:asciiTheme="minorHAnsi" w:hAnsiTheme="minorHAnsi"/>
          <w:sz w:val="28"/>
          <w:szCs w:val="28"/>
        </w:rPr>
        <w:t>Rose Gidongo</w:t>
      </w:r>
      <w:r>
        <w:rPr>
          <w:rFonts w:asciiTheme="minorHAnsi" w:hAnsiTheme="minorHAnsi"/>
          <w:sz w:val="28"/>
          <w:szCs w:val="28"/>
        </w:rPr>
        <w:tab/>
      </w:r>
      <w:r>
        <w:rPr>
          <w:rFonts w:asciiTheme="minorHAnsi" w:hAnsiTheme="minorHAnsi"/>
          <w:sz w:val="28"/>
          <w:szCs w:val="28"/>
        </w:rPr>
        <w:tab/>
      </w:r>
      <w:r w:rsidR="007C264E">
        <w:rPr>
          <w:rFonts w:asciiTheme="minorHAnsi" w:hAnsiTheme="minorHAnsi"/>
          <w:sz w:val="28"/>
          <w:szCs w:val="28"/>
        </w:rPr>
        <w:tab/>
      </w:r>
      <w:r w:rsidR="007C264E">
        <w:rPr>
          <w:rFonts w:asciiTheme="minorHAnsi" w:hAnsiTheme="minorHAnsi"/>
          <w:sz w:val="28"/>
          <w:szCs w:val="28"/>
        </w:rPr>
        <w:tab/>
      </w:r>
      <w:r w:rsidR="007C264E">
        <w:rPr>
          <w:rFonts w:asciiTheme="minorHAnsi" w:hAnsiTheme="minorHAnsi"/>
          <w:sz w:val="28"/>
          <w:szCs w:val="28"/>
        </w:rPr>
        <w:tab/>
      </w:r>
      <w:r>
        <w:rPr>
          <w:rFonts w:cs="Calibri"/>
          <w:sz w:val="28"/>
          <w:szCs w:val="28"/>
        </w:rPr>
        <w:t>…………………………..</w:t>
      </w:r>
    </w:p>
    <w:p w:rsidR="00896771" w:rsidRPr="00D66297" w:rsidRDefault="00896771" w:rsidP="00896771">
      <w:pPr>
        <w:spacing w:after="0"/>
        <w:jc w:val="both"/>
        <w:rPr>
          <w:b/>
          <w:sz w:val="28"/>
          <w:szCs w:val="28"/>
        </w:rPr>
      </w:pPr>
    </w:p>
    <w:p w:rsidR="00FF0850" w:rsidRPr="00896771" w:rsidRDefault="00155A70" w:rsidP="00593D09">
      <w:pPr>
        <w:pStyle w:val="ListParagraph"/>
        <w:ind w:left="0"/>
        <w:jc w:val="left"/>
        <w:rPr>
          <w:rFonts w:asciiTheme="minorHAnsi" w:hAnsiTheme="minorHAnsi"/>
          <w:b/>
          <w:sz w:val="28"/>
          <w:szCs w:val="28"/>
        </w:rPr>
      </w:pPr>
      <w:r>
        <w:rPr>
          <w:rFonts w:asciiTheme="minorHAnsi" w:hAnsiTheme="minorHAnsi"/>
          <w:b/>
          <w:sz w:val="28"/>
          <w:szCs w:val="28"/>
        </w:rPr>
        <w:t>Dated: 13/APRIL/2018</w:t>
      </w:r>
      <w:bookmarkStart w:id="0" w:name="_GoBack"/>
      <w:bookmarkEnd w:id="0"/>
    </w:p>
    <w:p w:rsidR="00FF0850" w:rsidRPr="00593D09" w:rsidRDefault="00FF0850" w:rsidP="00593D09">
      <w:pPr>
        <w:pStyle w:val="ListParagraph"/>
        <w:ind w:left="0"/>
        <w:jc w:val="left"/>
        <w:rPr>
          <w:rFonts w:asciiTheme="minorHAnsi" w:hAnsiTheme="minorHAnsi"/>
          <w:sz w:val="28"/>
          <w:szCs w:val="28"/>
        </w:rPr>
      </w:pPr>
    </w:p>
    <w:p w:rsidR="00D454F2" w:rsidRDefault="00155A70"/>
    <w:sectPr w:rsidR="00D454F2" w:rsidSect="00896771">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A3" w:rsidRDefault="00AB72A3" w:rsidP="00896771">
      <w:pPr>
        <w:spacing w:after="0" w:line="240" w:lineRule="auto"/>
      </w:pPr>
      <w:r>
        <w:separator/>
      </w:r>
    </w:p>
  </w:endnote>
  <w:endnote w:type="continuationSeparator" w:id="0">
    <w:p w:rsidR="00AB72A3" w:rsidRDefault="00AB72A3" w:rsidP="0089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631084"/>
      <w:docPartObj>
        <w:docPartGallery w:val="Page Numbers (Bottom of Page)"/>
        <w:docPartUnique/>
      </w:docPartObj>
    </w:sdtPr>
    <w:sdtEndPr>
      <w:rPr>
        <w:color w:val="7F7F7F" w:themeColor="background1" w:themeShade="7F"/>
        <w:spacing w:val="60"/>
      </w:rPr>
    </w:sdtEndPr>
    <w:sdtContent>
      <w:p w:rsidR="00896771" w:rsidRDefault="00C62AA9">
        <w:pPr>
          <w:pStyle w:val="Footer"/>
          <w:pBdr>
            <w:top w:val="single" w:sz="4" w:space="1" w:color="D9D9D9" w:themeColor="background1" w:themeShade="D9"/>
          </w:pBdr>
          <w:rPr>
            <w:b/>
            <w:bCs/>
          </w:rPr>
        </w:pPr>
        <w:r>
          <w:fldChar w:fldCharType="begin"/>
        </w:r>
        <w:r w:rsidR="00896771">
          <w:instrText xml:space="preserve"> PAGE   \* MERGEFORMAT </w:instrText>
        </w:r>
        <w:r>
          <w:fldChar w:fldCharType="separate"/>
        </w:r>
        <w:r w:rsidR="00155A70" w:rsidRPr="00155A70">
          <w:rPr>
            <w:b/>
            <w:bCs/>
            <w:noProof/>
          </w:rPr>
          <w:t>3</w:t>
        </w:r>
        <w:r>
          <w:rPr>
            <w:b/>
            <w:bCs/>
            <w:noProof/>
          </w:rPr>
          <w:fldChar w:fldCharType="end"/>
        </w:r>
        <w:r w:rsidR="00896771">
          <w:rPr>
            <w:b/>
            <w:bCs/>
          </w:rPr>
          <w:t xml:space="preserve"> | </w:t>
        </w:r>
        <w:r w:rsidR="00896771">
          <w:rPr>
            <w:color w:val="7F7F7F" w:themeColor="background1" w:themeShade="7F"/>
            <w:spacing w:val="60"/>
          </w:rPr>
          <w:t>Page</w:t>
        </w:r>
      </w:p>
    </w:sdtContent>
  </w:sdt>
  <w:p w:rsidR="00896771" w:rsidRDefault="0089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A3" w:rsidRDefault="00AB72A3" w:rsidP="00896771">
      <w:pPr>
        <w:spacing w:after="0" w:line="240" w:lineRule="auto"/>
      </w:pPr>
      <w:r>
        <w:separator/>
      </w:r>
    </w:p>
  </w:footnote>
  <w:footnote w:type="continuationSeparator" w:id="0">
    <w:p w:rsidR="00AB72A3" w:rsidRDefault="00AB72A3" w:rsidP="00896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74240"/>
    <w:multiLevelType w:val="hybridMultilevel"/>
    <w:tmpl w:val="9FDAE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A6B23A7"/>
    <w:multiLevelType w:val="hybridMultilevel"/>
    <w:tmpl w:val="9398D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8723B1"/>
    <w:multiLevelType w:val="hybridMultilevel"/>
    <w:tmpl w:val="765E7A4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8B5AB6"/>
    <w:multiLevelType w:val="hybridMultilevel"/>
    <w:tmpl w:val="9FDAE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3D09"/>
    <w:rsid w:val="00011CD1"/>
    <w:rsid w:val="000A5D23"/>
    <w:rsid w:val="00155A70"/>
    <w:rsid w:val="00237214"/>
    <w:rsid w:val="002A0767"/>
    <w:rsid w:val="002D2700"/>
    <w:rsid w:val="00392139"/>
    <w:rsid w:val="0039566F"/>
    <w:rsid w:val="003B265B"/>
    <w:rsid w:val="003C0950"/>
    <w:rsid w:val="004835C2"/>
    <w:rsid w:val="0049615E"/>
    <w:rsid w:val="005735F9"/>
    <w:rsid w:val="00593D09"/>
    <w:rsid w:val="00751784"/>
    <w:rsid w:val="007A159C"/>
    <w:rsid w:val="007A4582"/>
    <w:rsid w:val="007B0FF0"/>
    <w:rsid w:val="007C264E"/>
    <w:rsid w:val="007C4272"/>
    <w:rsid w:val="00895C60"/>
    <w:rsid w:val="00896771"/>
    <w:rsid w:val="008A4F72"/>
    <w:rsid w:val="008C27E4"/>
    <w:rsid w:val="009216A7"/>
    <w:rsid w:val="00A95CA5"/>
    <w:rsid w:val="00A96350"/>
    <w:rsid w:val="00AB72A3"/>
    <w:rsid w:val="00B403E1"/>
    <w:rsid w:val="00B47153"/>
    <w:rsid w:val="00BF0E95"/>
    <w:rsid w:val="00C62AA9"/>
    <w:rsid w:val="00C812A1"/>
    <w:rsid w:val="00CA0F48"/>
    <w:rsid w:val="00D31E4B"/>
    <w:rsid w:val="00D56126"/>
    <w:rsid w:val="00DB7D77"/>
    <w:rsid w:val="00DD5946"/>
    <w:rsid w:val="00DF0517"/>
    <w:rsid w:val="00E31E78"/>
    <w:rsid w:val="00FC14DA"/>
    <w:rsid w:val="00FC2240"/>
    <w:rsid w:val="00FF08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5A80A-6343-48EB-AF27-70E91483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D0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09"/>
    <w:pPr>
      <w:spacing w:after="0" w:line="240" w:lineRule="auto"/>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89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71"/>
    <w:rPr>
      <w:lang w:val="en-US"/>
    </w:rPr>
  </w:style>
  <w:style w:type="paragraph" w:styleId="Footer">
    <w:name w:val="footer"/>
    <w:basedOn w:val="Normal"/>
    <w:link w:val="FooterChar"/>
    <w:uiPriority w:val="99"/>
    <w:unhideWhenUsed/>
    <w:rsid w:val="0089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7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cp:revision>
  <cp:lastPrinted>2018-04-11T13:20:00Z</cp:lastPrinted>
  <dcterms:created xsi:type="dcterms:W3CDTF">2018-04-11T09:08:00Z</dcterms:created>
  <dcterms:modified xsi:type="dcterms:W3CDTF">2018-06-26T12:24:00Z</dcterms:modified>
</cp:coreProperties>
</file>