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4A5" w:rsidRPr="005439ED" w:rsidRDefault="00CF74A5" w:rsidP="00CF74A5">
      <w:pPr>
        <w:spacing w:after="0" w:line="360" w:lineRule="auto"/>
        <w:ind w:left="90"/>
        <w:jc w:val="center"/>
        <w:rPr>
          <w:rFonts w:ascii="Times New Roman" w:hAnsi="Times New Roman" w:cs="Times New Roman"/>
          <w:b/>
          <w:sz w:val="28"/>
          <w:szCs w:val="28"/>
        </w:rPr>
      </w:pPr>
      <w:r w:rsidRPr="005439ED">
        <w:rPr>
          <w:rFonts w:ascii="Times New Roman" w:hAnsi="Times New Roman" w:cs="Times New Roman"/>
          <w:b/>
          <w:sz w:val="28"/>
          <w:szCs w:val="28"/>
        </w:rPr>
        <w:t>THE REPUBLIC OF UGANDA</w:t>
      </w:r>
    </w:p>
    <w:p w:rsidR="00CF74A5" w:rsidRPr="005439ED" w:rsidRDefault="00CF74A5" w:rsidP="00CF74A5">
      <w:pPr>
        <w:spacing w:after="0" w:line="360" w:lineRule="auto"/>
        <w:ind w:left="90"/>
        <w:jc w:val="center"/>
        <w:rPr>
          <w:rFonts w:ascii="Times New Roman" w:hAnsi="Times New Roman" w:cs="Times New Roman"/>
          <w:b/>
          <w:sz w:val="28"/>
          <w:szCs w:val="28"/>
        </w:rPr>
      </w:pPr>
      <w:r w:rsidRPr="005439ED">
        <w:rPr>
          <w:rFonts w:ascii="Times New Roman" w:hAnsi="Times New Roman" w:cs="Times New Roman"/>
          <w:b/>
          <w:sz w:val="28"/>
          <w:szCs w:val="28"/>
        </w:rPr>
        <w:t>IN THE INDUSTRIAL COURT OF UGANDA AT KAMPALA</w:t>
      </w:r>
    </w:p>
    <w:p w:rsidR="00CF74A5" w:rsidRPr="005439ED" w:rsidRDefault="00CF74A5" w:rsidP="00CF74A5">
      <w:pPr>
        <w:spacing w:after="0" w:line="360" w:lineRule="auto"/>
        <w:ind w:left="90"/>
        <w:jc w:val="center"/>
        <w:rPr>
          <w:rFonts w:ascii="Times New Roman" w:hAnsi="Times New Roman" w:cs="Times New Roman"/>
          <w:b/>
          <w:sz w:val="28"/>
          <w:szCs w:val="28"/>
        </w:rPr>
      </w:pPr>
      <w:r w:rsidRPr="005439ED">
        <w:rPr>
          <w:rFonts w:ascii="Times New Roman" w:hAnsi="Times New Roman" w:cs="Times New Roman"/>
          <w:b/>
          <w:sz w:val="28"/>
          <w:szCs w:val="28"/>
        </w:rPr>
        <w:t>LABOUR DISPUTE REFERENCE NO. 028 OF 2018</w:t>
      </w:r>
    </w:p>
    <w:p w:rsidR="00CF74A5" w:rsidRPr="005439ED" w:rsidRDefault="00CF74A5" w:rsidP="00CF74A5">
      <w:pPr>
        <w:spacing w:after="0" w:line="360" w:lineRule="auto"/>
        <w:ind w:left="90"/>
        <w:jc w:val="center"/>
        <w:rPr>
          <w:rFonts w:ascii="Times New Roman" w:hAnsi="Times New Roman" w:cs="Times New Roman"/>
          <w:b/>
          <w:sz w:val="28"/>
          <w:szCs w:val="28"/>
        </w:rPr>
      </w:pPr>
      <w:r w:rsidRPr="005439ED">
        <w:rPr>
          <w:rFonts w:ascii="Times New Roman" w:hAnsi="Times New Roman" w:cs="Times New Roman"/>
          <w:b/>
          <w:sz w:val="28"/>
          <w:szCs w:val="28"/>
        </w:rPr>
        <w:t>[ARISING FROM KCCA/CEN/198/2016]</w:t>
      </w:r>
    </w:p>
    <w:p w:rsidR="00CF74A5" w:rsidRPr="005439ED" w:rsidRDefault="00CF74A5" w:rsidP="00CF74A5">
      <w:pPr>
        <w:spacing w:after="0" w:line="360" w:lineRule="auto"/>
        <w:ind w:left="90"/>
        <w:jc w:val="center"/>
        <w:rPr>
          <w:rFonts w:ascii="Times New Roman" w:hAnsi="Times New Roman" w:cs="Times New Roman"/>
          <w:b/>
          <w:sz w:val="28"/>
          <w:szCs w:val="28"/>
        </w:rPr>
      </w:pPr>
    </w:p>
    <w:p w:rsidR="00CF74A5" w:rsidRPr="005439ED" w:rsidRDefault="00CF74A5" w:rsidP="00CF74A5">
      <w:pPr>
        <w:spacing w:after="0" w:line="360" w:lineRule="auto"/>
        <w:ind w:left="90"/>
        <w:jc w:val="center"/>
        <w:rPr>
          <w:rFonts w:ascii="Times New Roman" w:hAnsi="Times New Roman" w:cs="Times New Roman"/>
          <w:b/>
          <w:sz w:val="28"/>
          <w:szCs w:val="28"/>
        </w:rPr>
      </w:pPr>
      <w:r w:rsidRPr="005439ED">
        <w:rPr>
          <w:rFonts w:ascii="Times New Roman" w:hAnsi="Times New Roman" w:cs="Times New Roman"/>
          <w:b/>
          <w:sz w:val="28"/>
          <w:szCs w:val="28"/>
        </w:rPr>
        <w:t>BETWEEN</w:t>
      </w:r>
    </w:p>
    <w:p w:rsidR="00CF74A5" w:rsidRPr="005439ED" w:rsidRDefault="00CF74A5" w:rsidP="00CF74A5">
      <w:pPr>
        <w:spacing w:after="0" w:line="360" w:lineRule="auto"/>
        <w:rPr>
          <w:rFonts w:ascii="Times New Roman" w:hAnsi="Times New Roman" w:cs="Times New Roman"/>
          <w:b/>
          <w:sz w:val="28"/>
          <w:szCs w:val="28"/>
        </w:rPr>
      </w:pPr>
      <w:r w:rsidRPr="005439ED">
        <w:rPr>
          <w:rFonts w:ascii="Times New Roman" w:hAnsi="Times New Roman" w:cs="Times New Roman"/>
          <w:b/>
          <w:sz w:val="28"/>
          <w:szCs w:val="28"/>
        </w:rPr>
        <w:t>MUBIRU MARTIN…….……………………………….….……..</w:t>
      </w:r>
      <w:r w:rsidR="00C96013">
        <w:rPr>
          <w:rFonts w:ascii="Times New Roman" w:hAnsi="Times New Roman" w:cs="Times New Roman"/>
          <w:b/>
          <w:sz w:val="28"/>
          <w:szCs w:val="28"/>
        </w:rPr>
        <w:t>APPELLANT</w:t>
      </w:r>
    </w:p>
    <w:p w:rsidR="00CF74A5" w:rsidRPr="005439ED" w:rsidRDefault="00CF74A5" w:rsidP="00CF74A5">
      <w:pPr>
        <w:spacing w:after="0" w:line="360" w:lineRule="auto"/>
        <w:jc w:val="center"/>
        <w:rPr>
          <w:rFonts w:ascii="Times New Roman" w:hAnsi="Times New Roman" w:cs="Times New Roman"/>
          <w:b/>
          <w:sz w:val="28"/>
          <w:szCs w:val="28"/>
        </w:rPr>
      </w:pPr>
      <w:r w:rsidRPr="005439ED">
        <w:rPr>
          <w:rFonts w:ascii="Times New Roman" w:hAnsi="Times New Roman" w:cs="Times New Roman"/>
          <w:b/>
          <w:sz w:val="28"/>
          <w:szCs w:val="28"/>
        </w:rPr>
        <w:t>VERSUS</w:t>
      </w:r>
    </w:p>
    <w:p w:rsidR="00CF74A5" w:rsidRPr="005439ED" w:rsidRDefault="00CF74A5" w:rsidP="00CF74A5">
      <w:pPr>
        <w:spacing w:after="0" w:line="360" w:lineRule="auto"/>
        <w:ind w:left="90"/>
        <w:rPr>
          <w:rFonts w:ascii="Times New Roman" w:hAnsi="Times New Roman" w:cs="Times New Roman"/>
          <w:b/>
          <w:sz w:val="28"/>
          <w:szCs w:val="28"/>
        </w:rPr>
      </w:pPr>
      <w:r w:rsidRPr="005439ED">
        <w:rPr>
          <w:rFonts w:ascii="Times New Roman" w:hAnsi="Times New Roman" w:cs="Times New Roman"/>
          <w:b/>
          <w:sz w:val="28"/>
          <w:szCs w:val="28"/>
        </w:rPr>
        <w:t>THE UGANDA RED CROSS…..</w:t>
      </w:r>
      <w:proofErr w:type="gramStart"/>
      <w:r w:rsidRPr="005439ED">
        <w:rPr>
          <w:rFonts w:ascii="Times New Roman" w:hAnsi="Times New Roman" w:cs="Times New Roman"/>
          <w:b/>
          <w:sz w:val="28"/>
          <w:szCs w:val="28"/>
        </w:rPr>
        <w:t>……...……………..………..</w:t>
      </w:r>
      <w:proofErr w:type="gramEnd"/>
      <w:r w:rsidRPr="005439ED">
        <w:rPr>
          <w:rFonts w:ascii="Times New Roman" w:hAnsi="Times New Roman" w:cs="Times New Roman"/>
          <w:b/>
          <w:sz w:val="28"/>
          <w:szCs w:val="28"/>
        </w:rPr>
        <w:t>RESPONDENT</w:t>
      </w:r>
    </w:p>
    <w:p w:rsidR="00CF74A5" w:rsidRPr="005439ED" w:rsidRDefault="00CF74A5" w:rsidP="00CF74A5">
      <w:pPr>
        <w:spacing w:after="0" w:line="360" w:lineRule="auto"/>
        <w:ind w:left="90"/>
        <w:rPr>
          <w:rFonts w:ascii="Times New Roman" w:hAnsi="Times New Roman" w:cs="Times New Roman"/>
          <w:b/>
          <w:sz w:val="28"/>
          <w:szCs w:val="28"/>
        </w:rPr>
      </w:pPr>
    </w:p>
    <w:p w:rsidR="00CF74A5" w:rsidRPr="005439ED" w:rsidRDefault="00CF74A5" w:rsidP="00CF74A5">
      <w:pPr>
        <w:spacing w:after="0" w:line="360" w:lineRule="auto"/>
        <w:ind w:left="90"/>
        <w:jc w:val="both"/>
        <w:rPr>
          <w:rFonts w:ascii="Times New Roman" w:hAnsi="Times New Roman" w:cs="Times New Roman"/>
          <w:b/>
          <w:sz w:val="28"/>
          <w:szCs w:val="28"/>
          <w:u w:val="single"/>
        </w:rPr>
      </w:pPr>
      <w:r w:rsidRPr="005439ED">
        <w:rPr>
          <w:rFonts w:ascii="Times New Roman" w:hAnsi="Times New Roman" w:cs="Times New Roman"/>
          <w:b/>
          <w:sz w:val="28"/>
          <w:szCs w:val="28"/>
          <w:u w:val="single"/>
        </w:rPr>
        <w:t>BEFORE</w:t>
      </w:r>
    </w:p>
    <w:p w:rsidR="00CF74A5" w:rsidRPr="005439ED" w:rsidRDefault="00CF74A5" w:rsidP="00CF74A5">
      <w:pPr>
        <w:pStyle w:val="ListParagraph"/>
        <w:numPr>
          <w:ilvl w:val="0"/>
          <w:numId w:val="1"/>
        </w:numPr>
        <w:spacing w:after="0" w:line="360" w:lineRule="auto"/>
        <w:jc w:val="both"/>
        <w:rPr>
          <w:rFonts w:ascii="Times New Roman" w:hAnsi="Times New Roman" w:cs="Times New Roman"/>
          <w:sz w:val="28"/>
          <w:szCs w:val="28"/>
        </w:rPr>
      </w:pPr>
      <w:r w:rsidRPr="005439ED">
        <w:rPr>
          <w:rFonts w:ascii="Times New Roman" w:hAnsi="Times New Roman" w:cs="Times New Roman"/>
          <w:sz w:val="28"/>
          <w:szCs w:val="28"/>
        </w:rPr>
        <w:t xml:space="preserve">Hon. Chief Judge </w:t>
      </w:r>
      <w:proofErr w:type="spellStart"/>
      <w:r w:rsidRPr="005439ED">
        <w:rPr>
          <w:rFonts w:ascii="Times New Roman" w:hAnsi="Times New Roman" w:cs="Times New Roman"/>
          <w:sz w:val="28"/>
          <w:szCs w:val="28"/>
        </w:rPr>
        <w:t>Ruhinda</w:t>
      </w:r>
      <w:proofErr w:type="spellEnd"/>
      <w:r w:rsidRPr="005439ED">
        <w:rPr>
          <w:rFonts w:ascii="Times New Roman" w:hAnsi="Times New Roman" w:cs="Times New Roman"/>
          <w:sz w:val="28"/>
          <w:szCs w:val="28"/>
        </w:rPr>
        <w:t xml:space="preserve"> </w:t>
      </w:r>
      <w:proofErr w:type="spellStart"/>
      <w:r w:rsidRPr="005439ED">
        <w:rPr>
          <w:rFonts w:ascii="Times New Roman" w:hAnsi="Times New Roman" w:cs="Times New Roman"/>
          <w:sz w:val="28"/>
          <w:szCs w:val="28"/>
        </w:rPr>
        <w:t>Asaph</w:t>
      </w:r>
      <w:proofErr w:type="spellEnd"/>
      <w:r w:rsidRPr="005439ED">
        <w:rPr>
          <w:rFonts w:ascii="Times New Roman" w:hAnsi="Times New Roman" w:cs="Times New Roman"/>
          <w:sz w:val="28"/>
          <w:szCs w:val="28"/>
        </w:rPr>
        <w:t xml:space="preserve"> </w:t>
      </w:r>
      <w:proofErr w:type="spellStart"/>
      <w:r w:rsidRPr="005439ED">
        <w:rPr>
          <w:rFonts w:ascii="Times New Roman" w:hAnsi="Times New Roman" w:cs="Times New Roman"/>
          <w:sz w:val="28"/>
          <w:szCs w:val="28"/>
        </w:rPr>
        <w:t>Ntengye</w:t>
      </w:r>
      <w:proofErr w:type="spellEnd"/>
    </w:p>
    <w:p w:rsidR="00CF74A5" w:rsidRPr="005439ED" w:rsidRDefault="00CF74A5" w:rsidP="00CF74A5">
      <w:pPr>
        <w:pStyle w:val="ListParagraph"/>
        <w:numPr>
          <w:ilvl w:val="0"/>
          <w:numId w:val="1"/>
        </w:numPr>
        <w:spacing w:after="0" w:line="360" w:lineRule="auto"/>
        <w:jc w:val="both"/>
        <w:rPr>
          <w:rFonts w:ascii="Times New Roman" w:hAnsi="Times New Roman" w:cs="Times New Roman"/>
          <w:sz w:val="28"/>
          <w:szCs w:val="28"/>
        </w:rPr>
      </w:pPr>
      <w:r w:rsidRPr="005439ED">
        <w:rPr>
          <w:rFonts w:ascii="Times New Roman" w:hAnsi="Times New Roman" w:cs="Times New Roman"/>
          <w:sz w:val="28"/>
          <w:szCs w:val="28"/>
        </w:rPr>
        <w:t xml:space="preserve">Hon. Lady Justice Linda Lillian </w:t>
      </w:r>
      <w:proofErr w:type="spellStart"/>
      <w:r w:rsidRPr="005439ED">
        <w:rPr>
          <w:rFonts w:ascii="Times New Roman" w:hAnsi="Times New Roman" w:cs="Times New Roman"/>
          <w:sz w:val="28"/>
          <w:szCs w:val="28"/>
        </w:rPr>
        <w:t>Tumusiime</w:t>
      </w:r>
      <w:proofErr w:type="spellEnd"/>
      <w:r w:rsidRPr="005439ED">
        <w:rPr>
          <w:rFonts w:ascii="Times New Roman" w:hAnsi="Times New Roman" w:cs="Times New Roman"/>
          <w:sz w:val="28"/>
          <w:szCs w:val="28"/>
        </w:rPr>
        <w:t xml:space="preserve"> </w:t>
      </w:r>
      <w:proofErr w:type="spellStart"/>
      <w:r w:rsidRPr="005439ED">
        <w:rPr>
          <w:rFonts w:ascii="Times New Roman" w:hAnsi="Times New Roman" w:cs="Times New Roman"/>
          <w:sz w:val="28"/>
          <w:szCs w:val="28"/>
        </w:rPr>
        <w:t>Mugisha</w:t>
      </w:r>
      <w:proofErr w:type="spellEnd"/>
    </w:p>
    <w:p w:rsidR="00CF74A5" w:rsidRPr="005439ED" w:rsidRDefault="00CF74A5" w:rsidP="00CF74A5">
      <w:pPr>
        <w:spacing w:after="0" w:line="360" w:lineRule="auto"/>
        <w:ind w:left="90"/>
        <w:jc w:val="both"/>
        <w:rPr>
          <w:rFonts w:ascii="Times New Roman" w:hAnsi="Times New Roman" w:cs="Times New Roman"/>
          <w:sz w:val="28"/>
          <w:szCs w:val="28"/>
        </w:rPr>
      </w:pPr>
    </w:p>
    <w:p w:rsidR="00CF74A5" w:rsidRPr="005439ED" w:rsidRDefault="00CF74A5" w:rsidP="00CF74A5">
      <w:pPr>
        <w:spacing w:after="0" w:line="360" w:lineRule="auto"/>
        <w:ind w:left="90"/>
        <w:jc w:val="both"/>
        <w:rPr>
          <w:rFonts w:ascii="Times New Roman" w:hAnsi="Times New Roman" w:cs="Times New Roman"/>
          <w:b/>
          <w:sz w:val="28"/>
          <w:szCs w:val="28"/>
          <w:u w:val="single"/>
        </w:rPr>
      </w:pPr>
      <w:r w:rsidRPr="005439ED">
        <w:rPr>
          <w:rFonts w:ascii="Times New Roman" w:hAnsi="Times New Roman" w:cs="Times New Roman"/>
          <w:b/>
          <w:sz w:val="28"/>
          <w:szCs w:val="28"/>
          <w:u w:val="single"/>
        </w:rPr>
        <w:t>PANELISTS</w:t>
      </w:r>
    </w:p>
    <w:p w:rsidR="00CF74A5" w:rsidRPr="005439ED" w:rsidRDefault="00CF74A5" w:rsidP="00CF74A5">
      <w:pPr>
        <w:pStyle w:val="ListParagraph"/>
        <w:numPr>
          <w:ilvl w:val="0"/>
          <w:numId w:val="2"/>
        </w:numPr>
        <w:rPr>
          <w:rFonts w:ascii="Times New Roman" w:hAnsi="Times New Roman" w:cs="Times New Roman"/>
          <w:sz w:val="28"/>
          <w:szCs w:val="28"/>
        </w:rPr>
      </w:pPr>
      <w:r w:rsidRPr="005439ED">
        <w:rPr>
          <w:rFonts w:ascii="Times New Roman" w:hAnsi="Times New Roman" w:cs="Times New Roman"/>
          <w:sz w:val="28"/>
          <w:szCs w:val="28"/>
        </w:rPr>
        <w:t xml:space="preserve">Ms. </w:t>
      </w:r>
      <w:proofErr w:type="spellStart"/>
      <w:r w:rsidRPr="005439ED">
        <w:rPr>
          <w:rFonts w:ascii="Times New Roman" w:hAnsi="Times New Roman" w:cs="Times New Roman"/>
          <w:sz w:val="28"/>
          <w:szCs w:val="28"/>
        </w:rPr>
        <w:t>Adrine</w:t>
      </w:r>
      <w:proofErr w:type="spellEnd"/>
      <w:r w:rsidRPr="005439ED">
        <w:rPr>
          <w:rFonts w:ascii="Times New Roman" w:hAnsi="Times New Roman" w:cs="Times New Roman"/>
          <w:sz w:val="28"/>
          <w:szCs w:val="28"/>
        </w:rPr>
        <w:t xml:space="preserve"> </w:t>
      </w:r>
      <w:proofErr w:type="spellStart"/>
      <w:r w:rsidRPr="005439ED">
        <w:rPr>
          <w:rFonts w:ascii="Times New Roman" w:hAnsi="Times New Roman" w:cs="Times New Roman"/>
          <w:sz w:val="28"/>
          <w:szCs w:val="28"/>
        </w:rPr>
        <w:t>Namara</w:t>
      </w:r>
      <w:proofErr w:type="spellEnd"/>
    </w:p>
    <w:p w:rsidR="00CF74A5" w:rsidRPr="005439ED" w:rsidRDefault="00CF74A5" w:rsidP="00CF74A5">
      <w:pPr>
        <w:pStyle w:val="ListParagraph"/>
        <w:numPr>
          <w:ilvl w:val="0"/>
          <w:numId w:val="2"/>
        </w:numPr>
        <w:rPr>
          <w:rFonts w:ascii="Times New Roman" w:hAnsi="Times New Roman" w:cs="Times New Roman"/>
          <w:sz w:val="28"/>
          <w:szCs w:val="28"/>
        </w:rPr>
      </w:pPr>
      <w:r w:rsidRPr="005439ED">
        <w:rPr>
          <w:rFonts w:ascii="Times New Roman" w:hAnsi="Times New Roman" w:cs="Times New Roman"/>
          <w:sz w:val="28"/>
          <w:szCs w:val="28"/>
        </w:rPr>
        <w:t xml:space="preserve">Ms. Suzan </w:t>
      </w:r>
      <w:proofErr w:type="spellStart"/>
      <w:r w:rsidRPr="005439ED">
        <w:rPr>
          <w:rFonts w:ascii="Times New Roman" w:hAnsi="Times New Roman" w:cs="Times New Roman"/>
          <w:sz w:val="28"/>
          <w:szCs w:val="28"/>
        </w:rPr>
        <w:t>Nabirye</w:t>
      </w:r>
      <w:proofErr w:type="spellEnd"/>
    </w:p>
    <w:p w:rsidR="00CF74A5" w:rsidRPr="005439ED" w:rsidRDefault="00CF74A5" w:rsidP="00CF74A5">
      <w:pPr>
        <w:pStyle w:val="ListParagraph"/>
        <w:numPr>
          <w:ilvl w:val="0"/>
          <w:numId w:val="2"/>
        </w:numPr>
        <w:spacing w:after="0" w:line="360" w:lineRule="auto"/>
        <w:jc w:val="both"/>
        <w:rPr>
          <w:rFonts w:ascii="Times New Roman" w:hAnsi="Times New Roman" w:cs="Times New Roman"/>
          <w:sz w:val="28"/>
          <w:szCs w:val="28"/>
        </w:rPr>
      </w:pPr>
      <w:r w:rsidRPr="005439ED">
        <w:rPr>
          <w:rFonts w:ascii="Times New Roman" w:hAnsi="Times New Roman" w:cs="Times New Roman"/>
          <w:sz w:val="28"/>
          <w:szCs w:val="28"/>
        </w:rPr>
        <w:t xml:space="preserve">Mr. Michael </w:t>
      </w:r>
      <w:proofErr w:type="spellStart"/>
      <w:r w:rsidRPr="005439ED">
        <w:rPr>
          <w:rFonts w:ascii="Times New Roman" w:hAnsi="Times New Roman" w:cs="Times New Roman"/>
          <w:sz w:val="28"/>
          <w:szCs w:val="28"/>
        </w:rPr>
        <w:t>Matovu</w:t>
      </w:r>
      <w:proofErr w:type="spellEnd"/>
      <w:r w:rsidRPr="005439ED">
        <w:rPr>
          <w:rFonts w:ascii="Times New Roman" w:hAnsi="Times New Roman" w:cs="Times New Roman"/>
          <w:sz w:val="28"/>
          <w:szCs w:val="28"/>
        </w:rPr>
        <w:t xml:space="preserve"> </w:t>
      </w:r>
    </w:p>
    <w:p w:rsidR="00CF74A5" w:rsidRPr="005439ED" w:rsidRDefault="00CF74A5" w:rsidP="00CF74A5">
      <w:pPr>
        <w:spacing w:line="360" w:lineRule="auto"/>
        <w:jc w:val="center"/>
        <w:rPr>
          <w:rFonts w:ascii="Times New Roman" w:hAnsi="Times New Roman" w:cs="Times New Roman"/>
          <w:b/>
          <w:sz w:val="28"/>
          <w:szCs w:val="28"/>
          <w:u w:val="single"/>
        </w:rPr>
      </w:pPr>
      <w:r w:rsidRPr="005439ED">
        <w:rPr>
          <w:rFonts w:ascii="Times New Roman" w:hAnsi="Times New Roman" w:cs="Times New Roman"/>
          <w:b/>
          <w:sz w:val="28"/>
          <w:szCs w:val="28"/>
          <w:u w:val="single"/>
        </w:rPr>
        <w:t>AWARD</w:t>
      </w:r>
    </w:p>
    <w:p w:rsidR="00590185" w:rsidRDefault="005439ED" w:rsidP="005D2343">
      <w:pPr>
        <w:jc w:val="both"/>
        <w:rPr>
          <w:rFonts w:ascii="Times New Roman" w:hAnsi="Times New Roman" w:cs="Times New Roman"/>
          <w:sz w:val="28"/>
          <w:szCs w:val="28"/>
        </w:rPr>
      </w:pPr>
      <w:r w:rsidRPr="005439ED">
        <w:rPr>
          <w:rFonts w:ascii="Times New Roman" w:hAnsi="Times New Roman" w:cs="Times New Roman"/>
          <w:sz w:val="28"/>
          <w:szCs w:val="28"/>
        </w:rPr>
        <w:t xml:space="preserve">This is an appeal against the decision of the </w:t>
      </w:r>
      <w:proofErr w:type="spellStart"/>
      <w:r w:rsidRPr="005439ED">
        <w:rPr>
          <w:rFonts w:ascii="Times New Roman" w:hAnsi="Times New Roman" w:cs="Times New Roman"/>
          <w:sz w:val="28"/>
          <w:szCs w:val="28"/>
        </w:rPr>
        <w:t>labour</w:t>
      </w:r>
      <w:proofErr w:type="spellEnd"/>
      <w:r w:rsidRPr="005439ED">
        <w:rPr>
          <w:rFonts w:ascii="Times New Roman" w:hAnsi="Times New Roman" w:cs="Times New Roman"/>
          <w:sz w:val="28"/>
          <w:szCs w:val="28"/>
        </w:rPr>
        <w:t xml:space="preserve"> officer sitting at KCCA in </w:t>
      </w:r>
      <w:proofErr w:type="spellStart"/>
      <w:r w:rsidRPr="005439ED">
        <w:rPr>
          <w:rFonts w:ascii="Times New Roman" w:hAnsi="Times New Roman" w:cs="Times New Roman"/>
          <w:sz w:val="28"/>
          <w:szCs w:val="28"/>
        </w:rPr>
        <w:t>labour</w:t>
      </w:r>
      <w:proofErr w:type="spellEnd"/>
      <w:r w:rsidRPr="005439ED">
        <w:rPr>
          <w:rFonts w:ascii="Times New Roman" w:hAnsi="Times New Roman" w:cs="Times New Roman"/>
          <w:sz w:val="28"/>
          <w:szCs w:val="28"/>
        </w:rPr>
        <w:t xml:space="preserve"> claim </w:t>
      </w:r>
      <w:proofErr w:type="gramStart"/>
      <w:r w:rsidRPr="005439ED">
        <w:rPr>
          <w:rFonts w:ascii="Times New Roman" w:hAnsi="Times New Roman" w:cs="Times New Roman"/>
          <w:sz w:val="28"/>
          <w:szCs w:val="28"/>
        </w:rPr>
        <w:t>No</w:t>
      </w:r>
      <w:proofErr w:type="gramEnd"/>
      <w:r w:rsidRPr="005439ED">
        <w:rPr>
          <w:rFonts w:ascii="Times New Roman" w:hAnsi="Times New Roman" w:cs="Times New Roman"/>
          <w:sz w:val="28"/>
          <w:szCs w:val="28"/>
        </w:rPr>
        <w:t>. KCCA/CEN/198/2016.</w:t>
      </w:r>
    </w:p>
    <w:p w:rsidR="005439ED" w:rsidRDefault="005439ED" w:rsidP="005D2343">
      <w:pPr>
        <w:jc w:val="both"/>
        <w:rPr>
          <w:rFonts w:ascii="Times New Roman" w:hAnsi="Times New Roman" w:cs="Times New Roman"/>
          <w:sz w:val="28"/>
          <w:szCs w:val="28"/>
        </w:rPr>
      </w:pPr>
      <w:r>
        <w:rPr>
          <w:rFonts w:ascii="Times New Roman" w:hAnsi="Times New Roman" w:cs="Times New Roman"/>
          <w:sz w:val="28"/>
          <w:szCs w:val="28"/>
        </w:rPr>
        <w:t xml:space="preserve">The appellant was represented by Mr. Julius </w:t>
      </w:r>
      <w:proofErr w:type="spellStart"/>
      <w:r>
        <w:rPr>
          <w:rFonts w:ascii="Times New Roman" w:hAnsi="Times New Roman" w:cs="Times New Roman"/>
          <w:sz w:val="28"/>
          <w:szCs w:val="28"/>
        </w:rPr>
        <w:t>Kinyera</w:t>
      </w:r>
      <w:proofErr w:type="spellEnd"/>
      <w:r>
        <w:rPr>
          <w:rFonts w:ascii="Times New Roman" w:hAnsi="Times New Roman" w:cs="Times New Roman"/>
          <w:sz w:val="28"/>
          <w:szCs w:val="28"/>
        </w:rPr>
        <w:t xml:space="preserve"> as well as Mr. Jackson </w:t>
      </w:r>
      <w:proofErr w:type="spellStart"/>
      <w:r>
        <w:rPr>
          <w:rFonts w:ascii="Times New Roman" w:hAnsi="Times New Roman" w:cs="Times New Roman"/>
          <w:sz w:val="28"/>
          <w:szCs w:val="28"/>
        </w:rPr>
        <w:t>Kayongo</w:t>
      </w:r>
      <w:proofErr w:type="spellEnd"/>
      <w:r>
        <w:rPr>
          <w:rFonts w:ascii="Times New Roman" w:hAnsi="Times New Roman" w:cs="Times New Roman"/>
          <w:sz w:val="28"/>
          <w:szCs w:val="28"/>
        </w:rPr>
        <w:t xml:space="preserve"> of M/s. Jingo, </w:t>
      </w:r>
      <w:proofErr w:type="spellStart"/>
      <w:r>
        <w:rPr>
          <w:rFonts w:ascii="Times New Roman" w:hAnsi="Times New Roman" w:cs="Times New Roman"/>
          <w:sz w:val="28"/>
          <w:szCs w:val="28"/>
        </w:rPr>
        <w:t>Ssempijja</w:t>
      </w:r>
      <w:proofErr w:type="spellEnd"/>
      <w:r>
        <w:rPr>
          <w:rFonts w:ascii="Times New Roman" w:hAnsi="Times New Roman" w:cs="Times New Roman"/>
          <w:sz w:val="28"/>
          <w:szCs w:val="28"/>
        </w:rPr>
        <w:t xml:space="preserve"> &amp; Co. </w:t>
      </w:r>
      <w:proofErr w:type="gramStart"/>
      <w:r>
        <w:rPr>
          <w:rFonts w:ascii="Times New Roman" w:hAnsi="Times New Roman" w:cs="Times New Roman"/>
          <w:sz w:val="28"/>
          <w:szCs w:val="28"/>
        </w:rPr>
        <w:t xml:space="preserve">Advocates </w:t>
      </w:r>
      <w:r w:rsidR="00CF0579">
        <w:rPr>
          <w:rFonts w:ascii="Times New Roman" w:hAnsi="Times New Roman" w:cs="Times New Roman"/>
          <w:sz w:val="28"/>
          <w:szCs w:val="28"/>
        </w:rPr>
        <w:t xml:space="preserve"> and</w:t>
      </w:r>
      <w:proofErr w:type="gramEnd"/>
      <w:r w:rsidR="00CF0579">
        <w:rPr>
          <w:rFonts w:ascii="Times New Roman" w:hAnsi="Times New Roman" w:cs="Times New Roman"/>
          <w:sz w:val="28"/>
          <w:szCs w:val="28"/>
        </w:rPr>
        <w:t xml:space="preserve"> M/s </w:t>
      </w:r>
      <w:proofErr w:type="spellStart"/>
      <w:r w:rsidR="00CF0579">
        <w:rPr>
          <w:rFonts w:ascii="Times New Roman" w:hAnsi="Times New Roman" w:cs="Times New Roman"/>
          <w:sz w:val="28"/>
          <w:szCs w:val="28"/>
        </w:rPr>
        <w:t>Kayongo</w:t>
      </w:r>
      <w:proofErr w:type="spellEnd"/>
      <w:r w:rsidR="00CF0579">
        <w:rPr>
          <w:rFonts w:ascii="Times New Roman" w:hAnsi="Times New Roman" w:cs="Times New Roman"/>
          <w:sz w:val="28"/>
          <w:szCs w:val="28"/>
        </w:rPr>
        <w:t xml:space="preserve"> Jackson &amp; co Advocates </w:t>
      </w:r>
      <w:r>
        <w:rPr>
          <w:rFonts w:ascii="Times New Roman" w:hAnsi="Times New Roman" w:cs="Times New Roman"/>
          <w:sz w:val="28"/>
          <w:szCs w:val="28"/>
        </w:rPr>
        <w:t>respectively.</w:t>
      </w:r>
      <w:r w:rsidR="00C24703">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When the matter came up in open court on 17/09/2019 none was in court for the respondent </w:t>
      </w:r>
      <w:r w:rsidR="00B916E5">
        <w:rPr>
          <w:rFonts w:ascii="Times New Roman" w:hAnsi="Times New Roman" w:cs="Times New Roman"/>
          <w:sz w:val="28"/>
          <w:szCs w:val="28"/>
        </w:rPr>
        <w:t>but this</w:t>
      </w:r>
      <w:r>
        <w:rPr>
          <w:rFonts w:ascii="Times New Roman" w:hAnsi="Times New Roman" w:cs="Times New Roman"/>
          <w:sz w:val="28"/>
          <w:szCs w:val="28"/>
        </w:rPr>
        <w:t xml:space="preserve"> court ordered that the record</w:t>
      </w:r>
      <w:r w:rsidR="00C96013">
        <w:rPr>
          <w:rFonts w:ascii="Times New Roman" w:hAnsi="Times New Roman" w:cs="Times New Roman"/>
          <w:sz w:val="28"/>
          <w:szCs w:val="28"/>
        </w:rPr>
        <w:t xml:space="preserve"> of</w:t>
      </w:r>
      <w:r>
        <w:rPr>
          <w:rFonts w:ascii="Times New Roman" w:hAnsi="Times New Roman" w:cs="Times New Roman"/>
          <w:sz w:val="28"/>
          <w:szCs w:val="28"/>
        </w:rPr>
        <w:t xml:space="preserve"> proceedings in the lower court be availed to the respondent </w:t>
      </w:r>
      <w:r w:rsidR="00B916E5">
        <w:rPr>
          <w:rFonts w:ascii="Times New Roman" w:hAnsi="Times New Roman" w:cs="Times New Roman"/>
          <w:sz w:val="28"/>
          <w:szCs w:val="28"/>
        </w:rPr>
        <w:t>and timelines</w:t>
      </w:r>
      <w:r>
        <w:rPr>
          <w:rFonts w:ascii="Times New Roman" w:hAnsi="Times New Roman" w:cs="Times New Roman"/>
          <w:sz w:val="28"/>
          <w:szCs w:val="28"/>
        </w:rPr>
        <w:t xml:space="preserve"> were given for submissions.</w:t>
      </w:r>
    </w:p>
    <w:p w:rsidR="00934D02" w:rsidRDefault="00B916E5" w:rsidP="005D234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By </w:t>
      </w:r>
      <w:r w:rsidR="00F26511">
        <w:rPr>
          <w:rFonts w:ascii="Times New Roman" w:hAnsi="Times New Roman" w:cs="Times New Roman"/>
          <w:sz w:val="28"/>
          <w:szCs w:val="28"/>
        </w:rPr>
        <w:t xml:space="preserve">the </w:t>
      </w:r>
      <w:r w:rsidR="00BF3B7E">
        <w:rPr>
          <w:rFonts w:ascii="Times New Roman" w:hAnsi="Times New Roman" w:cs="Times New Roman"/>
          <w:sz w:val="28"/>
          <w:szCs w:val="28"/>
        </w:rPr>
        <w:t>time of</w:t>
      </w:r>
      <w:r w:rsidR="00F26511">
        <w:rPr>
          <w:rFonts w:ascii="Times New Roman" w:hAnsi="Times New Roman" w:cs="Times New Roman"/>
          <w:sz w:val="28"/>
          <w:szCs w:val="28"/>
        </w:rPr>
        <w:t xml:space="preserve"> writing this Award on </w:t>
      </w:r>
      <w:r w:rsidR="00BF3B7E">
        <w:rPr>
          <w:rFonts w:ascii="Times New Roman" w:hAnsi="Times New Roman" w:cs="Times New Roman"/>
          <w:sz w:val="28"/>
          <w:szCs w:val="28"/>
        </w:rPr>
        <w:t xml:space="preserve">25/2/2020 only the appellant’s submissions were on the record.  </w:t>
      </w:r>
    </w:p>
    <w:p w:rsidR="00B916E5" w:rsidRDefault="00BF3B7E" w:rsidP="005D2343">
      <w:pPr>
        <w:jc w:val="both"/>
        <w:rPr>
          <w:rFonts w:ascii="Times New Roman" w:hAnsi="Times New Roman" w:cs="Times New Roman"/>
          <w:sz w:val="28"/>
          <w:szCs w:val="28"/>
        </w:rPr>
      </w:pPr>
      <w:r>
        <w:rPr>
          <w:rFonts w:ascii="Times New Roman" w:hAnsi="Times New Roman" w:cs="Times New Roman"/>
          <w:sz w:val="28"/>
          <w:szCs w:val="28"/>
        </w:rPr>
        <w:t xml:space="preserve">Briefly </w:t>
      </w:r>
      <w:r w:rsidR="00934D02">
        <w:rPr>
          <w:rFonts w:ascii="Times New Roman" w:hAnsi="Times New Roman" w:cs="Times New Roman"/>
          <w:sz w:val="28"/>
          <w:szCs w:val="28"/>
        </w:rPr>
        <w:t xml:space="preserve">the </w:t>
      </w:r>
      <w:r w:rsidR="00C24703">
        <w:rPr>
          <w:rFonts w:ascii="Times New Roman" w:hAnsi="Times New Roman" w:cs="Times New Roman"/>
          <w:sz w:val="28"/>
          <w:szCs w:val="28"/>
        </w:rPr>
        <w:t>facts from</w:t>
      </w:r>
      <w:r>
        <w:rPr>
          <w:rFonts w:ascii="Times New Roman" w:hAnsi="Times New Roman" w:cs="Times New Roman"/>
          <w:sz w:val="28"/>
          <w:szCs w:val="28"/>
        </w:rPr>
        <w:t xml:space="preserve"> the background of the appeal are:</w:t>
      </w:r>
    </w:p>
    <w:p w:rsidR="005D2343" w:rsidRDefault="00BF3B7E" w:rsidP="005D2343">
      <w:pPr>
        <w:jc w:val="both"/>
        <w:rPr>
          <w:rFonts w:ascii="Times New Roman" w:hAnsi="Times New Roman" w:cs="Times New Roman"/>
          <w:sz w:val="28"/>
          <w:szCs w:val="28"/>
        </w:rPr>
      </w:pPr>
      <w:r>
        <w:rPr>
          <w:rFonts w:ascii="Times New Roman" w:hAnsi="Times New Roman" w:cs="Times New Roman"/>
          <w:sz w:val="28"/>
          <w:szCs w:val="28"/>
        </w:rPr>
        <w:t xml:space="preserve">The appellant was an employee of the respondent having been appointed as Corporate Resource Mobilization Manager by letter dated 11/7/2012.  Both parties signed an </w:t>
      </w:r>
      <w:r w:rsidR="00EB4DDE">
        <w:rPr>
          <w:rFonts w:ascii="Times New Roman" w:hAnsi="Times New Roman" w:cs="Times New Roman"/>
          <w:sz w:val="28"/>
          <w:szCs w:val="28"/>
        </w:rPr>
        <w:t>employment</w:t>
      </w:r>
      <w:r>
        <w:rPr>
          <w:rFonts w:ascii="Times New Roman" w:hAnsi="Times New Roman" w:cs="Times New Roman"/>
          <w:sz w:val="28"/>
          <w:szCs w:val="28"/>
        </w:rPr>
        <w:t xml:space="preserve"> contract that provided for the employment to last for 3 years effective 16/7/2012.  His salary was to be</w:t>
      </w:r>
      <w:r w:rsidR="00C96013">
        <w:rPr>
          <w:rFonts w:ascii="Times New Roman" w:hAnsi="Times New Roman" w:cs="Times New Roman"/>
          <w:sz w:val="28"/>
          <w:szCs w:val="28"/>
        </w:rPr>
        <w:t xml:space="preserve"> UGX</w:t>
      </w:r>
      <w:r>
        <w:rPr>
          <w:rFonts w:ascii="Times New Roman" w:hAnsi="Times New Roman" w:cs="Times New Roman"/>
          <w:sz w:val="28"/>
          <w:szCs w:val="28"/>
        </w:rPr>
        <w:t xml:space="preserve"> 2,800,777 per month excluding other benefits as stipulated in Red Cross policies.</w:t>
      </w:r>
      <w:r w:rsidR="00C24703">
        <w:rPr>
          <w:rFonts w:ascii="Times New Roman" w:hAnsi="Times New Roman" w:cs="Times New Roman"/>
          <w:sz w:val="28"/>
          <w:szCs w:val="28"/>
        </w:rPr>
        <w:t xml:space="preserve"> </w:t>
      </w:r>
      <w:r w:rsidR="005D2343">
        <w:rPr>
          <w:rFonts w:ascii="Times New Roman" w:hAnsi="Times New Roman" w:cs="Times New Roman"/>
          <w:sz w:val="28"/>
          <w:szCs w:val="28"/>
        </w:rPr>
        <w:t>On 25/11/2014, he was appointed as Resource Mobilization officer and as per the contract of service signed by both parties on 1/12/2014 the contract came into effect on 1</w:t>
      </w:r>
      <w:r w:rsidR="005D2343" w:rsidRPr="005D2343">
        <w:rPr>
          <w:rFonts w:ascii="Times New Roman" w:hAnsi="Times New Roman" w:cs="Times New Roman"/>
          <w:sz w:val="28"/>
          <w:szCs w:val="28"/>
          <w:vertAlign w:val="superscript"/>
        </w:rPr>
        <w:t>st</w:t>
      </w:r>
      <w:r w:rsidR="005D2343">
        <w:rPr>
          <w:rFonts w:ascii="Times New Roman" w:hAnsi="Times New Roman" w:cs="Times New Roman"/>
          <w:sz w:val="28"/>
          <w:szCs w:val="28"/>
        </w:rPr>
        <w:t xml:space="preserve"> September 2014 and was to last up to 31/8/2017.</w:t>
      </w:r>
      <w:r w:rsidR="00E13E7D">
        <w:rPr>
          <w:rFonts w:ascii="Times New Roman" w:hAnsi="Times New Roman" w:cs="Times New Roman"/>
          <w:sz w:val="28"/>
          <w:szCs w:val="28"/>
        </w:rPr>
        <w:t xml:space="preserve"> </w:t>
      </w:r>
      <w:r w:rsidR="005D2343">
        <w:rPr>
          <w:rFonts w:ascii="Times New Roman" w:hAnsi="Times New Roman" w:cs="Times New Roman"/>
          <w:sz w:val="28"/>
          <w:szCs w:val="28"/>
        </w:rPr>
        <w:t>On 20</w:t>
      </w:r>
      <w:r w:rsidR="005D2343" w:rsidRPr="005D2343">
        <w:rPr>
          <w:rFonts w:ascii="Times New Roman" w:hAnsi="Times New Roman" w:cs="Times New Roman"/>
          <w:sz w:val="28"/>
          <w:szCs w:val="28"/>
          <w:vertAlign w:val="superscript"/>
        </w:rPr>
        <w:t>th</w:t>
      </w:r>
      <w:r w:rsidR="005D2343">
        <w:rPr>
          <w:rFonts w:ascii="Times New Roman" w:hAnsi="Times New Roman" w:cs="Times New Roman"/>
          <w:sz w:val="28"/>
          <w:szCs w:val="28"/>
        </w:rPr>
        <w:t xml:space="preserve"> November 2015, the respondent issued a notice to the appellant to </w:t>
      </w:r>
      <w:r w:rsidR="005D2343" w:rsidRPr="0066061C">
        <w:rPr>
          <w:rFonts w:ascii="Times New Roman" w:hAnsi="Times New Roman" w:cs="Times New Roman"/>
          <w:b/>
          <w:sz w:val="28"/>
          <w:szCs w:val="28"/>
        </w:rPr>
        <w:t xml:space="preserve">“Realign </w:t>
      </w:r>
      <w:r w:rsidR="0066061C" w:rsidRPr="0066061C">
        <w:rPr>
          <w:rFonts w:ascii="Times New Roman" w:hAnsi="Times New Roman" w:cs="Times New Roman"/>
          <w:b/>
          <w:sz w:val="28"/>
          <w:szCs w:val="28"/>
        </w:rPr>
        <w:t>your</w:t>
      </w:r>
      <w:r w:rsidR="005D2343" w:rsidRPr="0066061C">
        <w:rPr>
          <w:rFonts w:ascii="Times New Roman" w:hAnsi="Times New Roman" w:cs="Times New Roman"/>
          <w:b/>
          <w:sz w:val="28"/>
          <w:szCs w:val="28"/>
        </w:rPr>
        <w:t xml:space="preserve"> employment contract</w:t>
      </w:r>
      <w:r w:rsidR="0066061C" w:rsidRPr="0066061C">
        <w:rPr>
          <w:rFonts w:ascii="Times New Roman" w:hAnsi="Times New Roman" w:cs="Times New Roman"/>
          <w:sz w:val="28"/>
          <w:szCs w:val="28"/>
        </w:rPr>
        <w:t>”</w:t>
      </w:r>
      <w:r w:rsidR="005D2343" w:rsidRPr="0066061C">
        <w:rPr>
          <w:rFonts w:ascii="Times New Roman" w:hAnsi="Times New Roman" w:cs="Times New Roman"/>
          <w:sz w:val="28"/>
          <w:szCs w:val="28"/>
        </w:rPr>
        <w:t xml:space="preserve"> </w:t>
      </w:r>
      <w:r w:rsidR="0066061C">
        <w:rPr>
          <w:rFonts w:ascii="Times New Roman" w:hAnsi="Times New Roman" w:cs="Times New Roman"/>
          <w:sz w:val="28"/>
          <w:szCs w:val="28"/>
        </w:rPr>
        <w:t>because of funding constraints.  The notice provided (among others)</w:t>
      </w:r>
    </w:p>
    <w:p w:rsidR="0066061C" w:rsidRDefault="0066061C" w:rsidP="00451FE5">
      <w:pPr>
        <w:ind w:left="720"/>
        <w:jc w:val="both"/>
        <w:rPr>
          <w:rFonts w:ascii="Times New Roman" w:hAnsi="Times New Roman" w:cs="Times New Roman"/>
          <w:sz w:val="28"/>
          <w:szCs w:val="28"/>
        </w:rPr>
      </w:pPr>
      <w:r>
        <w:rPr>
          <w:rFonts w:ascii="Times New Roman" w:hAnsi="Times New Roman" w:cs="Times New Roman"/>
          <w:b/>
          <w:sz w:val="28"/>
          <w:szCs w:val="28"/>
        </w:rPr>
        <w:t>“</w:t>
      </w:r>
      <w:r w:rsidR="00451FE5">
        <w:rPr>
          <w:rFonts w:ascii="Times New Roman" w:hAnsi="Times New Roman" w:cs="Times New Roman"/>
          <w:b/>
          <w:sz w:val="28"/>
          <w:szCs w:val="28"/>
        </w:rPr>
        <w:t>You will</w:t>
      </w:r>
      <w:r w:rsidR="00C96013">
        <w:rPr>
          <w:rFonts w:ascii="Times New Roman" w:hAnsi="Times New Roman" w:cs="Times New Roman"/>
          <w:b/>
          <w:sz w:val="28"/>
          <w:szCs w:val="28"/>
        </w:rPr>
        <w:t xml:space="preserve"> be remunerated on at</w:t>
      </w:r>
      <w:r>
        <w:rPr>
          <w:rFonts w:ascii="Times New Roman" w:hAnsi="Times New Roman" w:cs="Times New Roman"/>
          <w:b/>
          <w:sz w:val="28"/>
          <w:szCs w:val="28"/>
        </w:rPr>
        <w:t xml:space="preserve"> new terms engagement that will be informed by </w:t>
      </w:r>
      <w:r w:rsidR="00451FE5">
        <w:rPr>
          <w:rFonts w:ascii="Times New Roman" w:hAnsi="Times New Roman" w:cs="Times New Roman"/>
          <w:b/>
          <w:sz w:val="28"/>
          <w:szCs w:val="28"/>
        </w:rPr>
        <w:t>the income</w:t>
      </w:r>
      <w:r w:rsidR="00562FD2">
        <w:rPr>
          <w:rFonts w:ascii="Times New Roman" w:hAnsi="Times New Roman" w:cs="Times New Roman"/>
          <w:b/>
          <w:sz w:val="28"/>
          <w:szCs w:val="28"/>
        </w:rPr>
        <w:t xml:space="preserve"> realized from the </w:t>
      </w:r>
      <w:proofErr w:type="spellStart"/>
      <w:r w:rsidR="00C96013">
        <w:rPr>
          <w:rFonts w:ascii="Times New Roman" w:hAnsi="Times New Roman" w:cs="Times New Roman"/>
          <w:b/>
          <w:sz w:val="28"/>
          <w:szCs w:val="28"/>
        </w:rPr>
        <w:t>coopo</w:t>
      </w:r>
      <w:r>
        <w:rPr>
          <w:rFonts w:ascii="Times New Roman" w:hAnsi="Times New Roman" w:cs="Times New Roman"/>
          <w:b/>
          <w:sz w:val="28"/>
          <w:szCs w:val="28"/>
        </w:rPr>
        <w:t>rate</w:t>
      </w:r>
      <w:proofErr w:type="spellEnd"/>
      <w:r>
        <w:rPr>
          <w:rFonts w:ascii="Times New Roman" w:hAnsi="Times New Roman" w:cs="Times New Roman"/>
          <w:b/>
          <w:sz w:val="28"/>
          <w:szCs w:val="28"/>
        </w:rPr>
        <w:t xml:space="preserve"> and other fundraising initiatives.  Such arrangements will be worked out and agreed with management by the end of </w:t>
      </w:r>
      <w:r w:rsidR="00451FE5">
        <w:rPr>
          <w:rFonts w:ascii="Times New Roman" w:hAnsi="Times New Roman" w:cs="Times New Roman"/>
          <w:b/>
          <w:sz w:val="28"/>
          <w:szCs w:val="28"/>
        </w:rPr>
        <w:t>December 2015</w:t>
      </w:r>
      <w:r>
        <w:rPr>
          <w:rFonts w:ascii="Times New Roman" w:hAnsi="Times New Roman" w:cs="Times New Roman"/>
          <w:b/>
          <w:sz w:val="28"/>
          <w:szCs w:val="28"/>
        </w:rPr>
        <w:t xml:space="preserve"> “……You will be expected to sign a new employment contract based on “personal to holder basis”. </w:t>
      </w:r>
    </w:p>
    <w:p w:rsidR="00451FE5" w:rsidRDefault="00451FE5" w:rsidP="00451FE5">
      <w:pPr>
        <w:jc w:val="both"/>
        <w:rPr>
          <w:rFonts w:ascii="Times New Roman" w:hAnsi="Times New Roman" w:cs="Times New Roman"/>
          <w:sz w:val="28"/>
          <w:szCs w:val="28"/>
        </w:rPr>
      </w:pPr>
      <w:r>
        <w:rPr>
          <w:rFonts w:ascii="Times New Roman" w:hAnsi="Times New Roman" w:cs="Times New Roman"/>
          <w:sz w:val="28"/>
          <w:szCs w:val="28"/>
        </w:rPr>
        <w:t>On 7/03/2016</w:t>
      </w:r>
      <w:r w:rsidR="00480AC6">
        <w:rPr>
          <w:rFonts w:ascii="Times New Roman" w:hAnsi="Times New Roman" w:cs="Times New Roman"/>
          <w:sz w:val="28"/>
          <w:szCs w:val="28"/>
        </w:rPr>
        <w:t>, the</w:t>
      </w:r>
      <w:r>
        <w:rPr>
          <w:rFonts w:ascii="Times New Roman" w:hAnsi="Times New Roman" w:cs="Times New Roman"/>
          <w:sz w:val="28"/>
          <w:szCs w:val="28"/>
        </w:rPr>
        <w:t xml:space="preserve"> respondent wrote to the Secretary General of the appellant notifying him that he was resigning from the position of Resour</w:t>
      </w:r>
      <w:r w:rsidR="00480AC6">
        <w:rPr>
          <w:rFonts w:ascii="Times New Roman" w:hAnsi="Times New Roman" w:cs="Times New Roman"/>
          <w:sz w:val="28"/>
          <w:szCs w:val="28"/>
        </w:rPr>
        <w:t>ce</w:t>
      </w:r>
      <w:r>
        <w:rPr>
          <w:rFonts w:ascii="Times New Roman" w:hAnsi="Times New Roman" w:cs="Times New Roman"/>
          <w:sz w:val="28"/>
          <w:szCs w:val="28"/>
        </w:rPr>
        <w:t xml:space="preserve"> </w:t>
      </w:r>
      <w:r w:rsidR="00480AC6">
        <w:rPr>
          <w:rFonts w:ascii="Times New Roman" w:hAnsi="Times New Roman" w:cs="Times New Roman"/>
          <w:sz w:val="28"/>
          <w:szCs w:val="28"/>
        </w:rPr>
        <w:t>Mobilization</w:t>
      </w:r>
      <w:r>
        <w:rPr>
          <w:rFonts w:ascii="Times New Roman" w:hAnsi="Times New Roman" w:cs="Times New Roman"/>
          <w:sz w:val="28"/>
          <w:szCs w:val="28"/>
        </w:rPr>
        <w:t xml:space="preserve"> Officer effective 25/3/2016.</w:t>
      </w:r>
    </w:p>
    <w:p w:rsidR="001003B8" w:rsidRDefault="00396FCE" w:rsidP="00451FE5">
      <w:pPr>
        <w:jc w:val="both"/>
        <w:rPr>
          <w:rFonts w:ascii="Times New Roman" w:hAnsi="Times New Roman" w:cs="Times New Roman"/>
          <w:sz w:val="28"/>
          <w:szCs w:val="28"/>
        </w:rPr>
      </w:pPr>
      <w:r>
        <w:rPr>
          <w:rFonts w:ascii="Times New Roman" w:hAnsi="Times New Roman" w:cs="Times New Roman"/>
          <w:sz w:val="28"/>
          <w:szCs w:val="28"/>
        </w:rPr>
        <w:t>In reply the Secretary General wrote to say that</w:t>
      </w:r>
      <w:r w:rsidR="00E13E7D">
        <w:rPr>
          <w:rFonts w:ascii="Times New Roman" w:hAnsi="Times New Roman" w:cs="Times New Roman"/>
          <w:sz w:val="28"/>
          <w:szCs w:val="28"/>
        </w:rPr>
        <w:t xml:space="preserve"> resignation did not arise because</w:t>
      </w:r>
      <w:r>
        <w:rPr>
          <w:rFonts w:ascii="Times New Roman" w:hAnsi="Times New Roman" w:cs="Times New Roman"/>
          <w:sz w:val="28"/>
          <w:szCs w:val="28"/>
        </w:rPr>
        <w:t xml:space="preserve"> there was no confirmed position to resign from since </w:t>
      </w:r>
      <w:r w:rsidR="001003B8">
        <w:rPr>
          <w:rFonts w:ascii="Times New Roman" w:hAnsi="Times New Roman" w:cs="Times New Roman"/>
          <w:sz w:val="28"/>
          <w:szCs w:val="28"/>
        </w:rPr>
        <w:t>following the</w:t>
      </w:r>
      <w:r>
        <w:rPr>
          <w:rFonts w:ascii="Times New Roman" w:hAnsi="Times New Roman" w:cs="Times New Roman"/>
          <w:sz w:val="28"/>
          <w:szCs w:val="28"/>
        </w:rPr>
        <w:t xml:space="preserve"> </w:t>
      </w:r>
      <w:r w:rsidR="001003B8">
        <w:rPr>
          <w:rFonts w:ascii="Times New Roman" w:hAnsi="Times New Roman" w:cs="Times New Roman"/>
          <w:sz w:val="28"/>
          <w:szCs w:val="28"/>
        </w:rPr>
        <w:t>letter of</w:t>
      </w:r>
      <w:r>
        <w:rPr>
          <w:rFonts w:ascii="Times New Roman" w:hAnsi="Times New Roman" w:cs="Times New Roman"/>
          <w:sz w:val="28"/>
          <w:szCs w:val="28"/>
        </w:rPr>
        <w:t xml:space="preserve"> re-</w:t>
      </w:r>
      <w:r w:rsidR="001003B8">
        <w:rPr>
          <w:rFonts w:ascii="Times New Roman" w:hAnsi="Times New Roman" w:cs="Times New Roman"/>
          <w:sz w:val="28"/>
          <w:szCs w:val="28"/>
        </w:rPr>
        <w:t>alignment of</w:t>
      </w:r>
      <w:r>
        <w:rPr>
          <w:rFonts w:ascii="Times New Roman" w:hAnsi="Times New Roman" w:cs="Times New Roman"/>
          <w:sz w:val="28"/>
          <w:szCs w:val="28"/>
        </w:rPr>
        <w:t xml:space="preserve"> his job he was expected to prepare a comprehensive handover report before computation of his terminal benefits.</w:t>
      </w:r>
      <w:r w:rsidR="00E13E7D">
        <w:rPr>
          <w:rFonts w:ascii="Times New Roman" w:hAnsi="Times New Roman" w:cs="Times New Roman"/>
          <w:sz w:val="28"/>
          <w:szCs w:val="28"/>
        </w:rPr>
        <w:t xml:space="preserve"> </w:t>
      </w:r>
      <w:r w:rsidR="001003B8">
        <w:rPr>
          <w:rFonts w:ascii="Times New Roman" w:hAnsi="Times New Roman" w:cs="Times New Roman"/>
          <w:sz w:val="28"/>
          <w:szCs w:val="28"/>
        </w:rPr>
        <w:t>The appellant then prepared some report which the appellant questioned and denied the appellant salary of up to March 2016 arg</w:t>
      </w:r>
      <w:r w:rsidR="00C96013">
        <w:rPr>
          <w:rFonts w:ascii="Times New Roman" w:hAnsi="Times New Roman" w:cs="Times New Roman"/>
          <w:sz w:val="28"/>
          <w:szCs w:val="28"/>
        </w:rPr>
        <w:t>uing that from the date of real</w:t>
      </w:r>
      <w:r w:rsidR="001003B8">
        <w:rPr>
          <w:rFonts w:ascii="Times New Roman" w:hAnsi="Times New Roman" w:cs="Times New Roman"/>
          <w:sz w:val="28"/>
          <w:szCs w:val="28"/>
        </w:rPr>
        <w:t xml:space="preserve">ignment the claimant was not an employee.  The appellant also was denied terminal benefits on the ground that the handover report was not proper.  When the matter came before the </w:t>
      </w:r>
      <w:proofErr w:type="spellStart"/>
      <w:r w:rsidR="001003B8">
        <w:rPr>
          <w:rFonts w:ascii="Times New Roman" w:hAnsi="Times New Roman" w:cs="Times New Roman"/>
          <w:sz w:val="28"/>
          <w:szCs w:val="28"/>
        </w:rPr>
        <w:t>labour</w:t>
      </w:r>
      <w:proofErr w:type="spellEnd"/>
      <w:r w:rsidR="001003B8">
        <w:rPr>
          <w:rFonts w:ascii="Times New Roman" w:hAnsi="Times New Roman" w:cs="Times New Roman"/>
          <w:sz w:val="28"/>
          <w:szCs w:val="28"/>
        </w:rPr>
        <w:t xml:space="preserve"> officer he decided that the appellant ceased to be an employee of the respondent on 31/12/2015 since the employment contract was to be re-aligned effective 1/1/2016.  The </w:t>
      </w:r>
      <w:proofErr w:type="spellStart"/>
      <w:r w:rsidR="001003B8">
        <w:rPr>
          <w:rFonts w:ascii="Times New Roman" w:hAnsi="Times New Roman" w:cs="Times New Roman"/>
          <w:sz w:val="28"/>
          <w:szCs w:val="28"/>
        </w:rPr>
        <w:t>labour</w:t>
      </w:r>
      <w:proofErr w:type="spellEnd"/>
      <w:r w:rsidR="001003B8">
        <w:rPr>
          <w:rFonts w:ascii="Times New Roman" w:hAnsi="Times New Roman" w:cs="Times New Roman"/>
          <w:sz w:val="28"/>
          <w:szCs w:val="28"/>
        </w:rPr>
        <w:t xml:space="preserve"> officer </w:t>
      </w:r>
      <w:r w:rsidR="001003B8">
        <w:rPr>
          <w:rFonts w:ascii="Times New Roman" w:hAnsi="Times New Roman" w:cs="Times New Roman"/>
          <w:sz w:val="28"/>
          <w:szCs w:val="28"/>
        </w:rPr>
        <w:lastRenderedPageBreak/>
        <w:t>also decided that the appellant was to provide a formal handover and the respondent to do an exit clearance before the appellant could access his terminal benefits.</w:t>
      </w:r>
      <w:r w:rsidR="00E13E7D">
        <w:rPr>
          <w:rFonts w:ascii="Times New Roman" w:hAnsi="Times New Roman" w:cs="Times New Roman"/>
          <w:sz w:val="28"/>
          <w:szCs w:val="28"/>
        </w:rPr>
        <w:t xml:space="preserve"> </w:t>
      </w:r>
      <w:r w:rsidR="001003B8">
        <w:rPr>
          <w:rFonts w:ascii="Times New Roman" w:hAnsi="Times New Roman" w:cs="Times New Roman"/>
          <w:sz w:val="28"/>
          <w:szCs w:val="28"/>
        </w:rPr>
        <w:t>The appellant was not satisfied and filed this appeal which is based on two grounds.</w:t>
      </w:r>
    </w:p>
    <w:p w:rsidR="001003B8" w:rsidRPr="00934D02" w:rsidRDefault="00C96013" w:rsidP="001003B8">
      <w:pPr>
        <w:pStyle w:val="ListParagraph"/>
        <w:numPr>
          <w:ilvl w:val="1"/>
          <w:numId w:val="1"/>
        </w:numPr>
        <w:jc w:val="both"/>
        <w:rPr>
          <w:rFonts w:ascii="Times New Roman" w:hAnsi="Times New Roman" w:cs="Times New Roman"/>
          <w:b/>
          <w:sz w:val="28"/>
          <w:szCs w:val="28"/>
        </w:rPr>
      </w:pPr>
      <w:r w:rsidRPr="00934D02">
        <w:rPr>
          <w:rFonts w:ascii="Times New Roman" w:hAnsi="Times New Roman" w:cs="Times New Roman"/>
          <w:b/>
          <w:sz w:val="28"/>
          <w:szCs w:val="28"/>
        </w:rPr>
        <w:t xml:space="preserve">The </w:t>
      </w:r>
      <w:proofErr w:type="spellStart"/>
      <w:r w:rsidRPr="00934D02">
        <w:rPr>
          <w:rFonts w:ascii="Times New Roman" w:hAnsi="Times New Roman" w:cs="Times New Roman"/>
          <w:b/>
          <w:sz w:val="28"/>
          <w:szCs w:val="28"/>
        </w:rPr>
        <w:t>labour</w:t>
      </w:r>
      <w:proofErr w:type="spellEnd"/>
      <w:r w:rsidRPr="00934D02">
        <w:rPr>
          <w:rFonts w:ascii="Times New Roman" w:hAnsi="Times New Roman" w:cs="Times New Roman"/>
          <w:b/>
          <w:sz w:val="28"/>
          <w:szCs w:val="28"/>
        </w:rPr>
        <w:t xml:space="preserve"> officer erred</w:t>
      </w:r>
      <w:r w:rsidR="00DC1A7D" w:rsidRPr="00934D02">
        <w:rPr>
          <w:rFonts w:ascii="Times New Roman" w:hAnsi="Times New Roman" w:cs="Times New Roman"/>
          <w:b/>
          <w:sz w:val="28"/>
          <w:szCs w:val="28"/>
        </w:rPr>
        <w:t xml:space="preserve"> in law and in fact when he failed to fully evaluate </w:t>
      </w:r>
      <w:r w:rsidR="00934D02" w:rsidRPr="00934D02">
        <w:rPr>
          <w:rFonts w:ascii="Times New Roman" w:hAnsi="Times New Roman" w:cs="Times New Roman"/>
          <w:b/>
          <w:sz w:val="28"/>
          <w:szCs w:val="28"/>
        </w:rPr>
        <w:t>the evidence thereby arriving at</w:t>
      </w:r>
      <w:r w:rsidR="00DC1A7D" w:rsidRPr="00934D02">
        <w:rPr>
          <w:rFonts w:ascii="Times New Roman" w:hAnsi="Times New Roman" w:cs="Times New Roman"/>
          <w:b/>
          <w:sz w:val="28"/>
          <w:szCs w:val="28"/>
        </w:rPr>
        <w:t xml:space="preserve"> a wrong conclusion that the appellant did not continue to offer service to the respondent between the months of January and March 2016 leading to the entitlement of salary for that period. </w:t>
      </w:r>
    </w:p>
    <w:p w:rsidR="001003B8" w:rsidRPr="00934D02" w:rsidRDefault="00DC1A7D" w:rsidP="001003B8">
      <w:pPr>
        <w:pStyle w:val="ListParagraph"/>
        <w:numPr>
          <w:ilvl w:val="1"/>
          <w:numId w:val="1"/>
        </w:numPr>
        <w:jc w:val="both"/>
        <w:rPr>
          <w:rFonts w:ascii="Times New Roman" w:hAnsi="Times New Roman" w:cs="Times New Roman"/>
          <w:b/>
          <w:sz w:val="28"/>
          <w:szCs w:val="28"/>
        </w:rPr>
      </w:pPr>
      <w:r w:rsidRPr="00934D02">
        <w:rPr>
          <w:rFonts w:ascii="Times New Roman" w:hAnsi="Times New Roman" w:cs="Times New Roman"/>
          <w:b/>
          <w:sz w:val="28"/>
          <w:szCs w:val="28"/>
        </w:rPr>
        <w:t xml:space="preserve">The </w:t>
      </w:r>
      <w:proofErr w:type="spellStart"/>
      <w:r w:rsidRPr="00934D02">
        <w:rPr>
          <w:rFonts w:ascii="Times New Roman" w:hAnsi="Times New Roman" w:cs="Times New Roman"/>
          <w:b/>
          <w:sz w:val="28"/>
          <w:szCs w:val="28"/>
        </w:rPr>
        <w:t>labour</w:t>
      </w:r>
      <w:proofErr w:type="spellEnd"/>
      <w:r w:rsidRPr="00934D02">
        <w:rPr>
          <w:rFonts w:ascii="Times New Roman" w:hAnsi="Times New Roman" w:cs="Times New Roman"/>
          <w:b/>
          <w:sz w:val="28"/>
          <w:szCs w:val="28"/>
        </w:rPr>
        <w:t xml:space="preserve"> officer erred in law and in fact when he failed to fully evaluate the evidence presented thereby arriving at a wrong conclusion that the appellant should make a comprehensive hand over report before claiming his provident funds. </w:t>
      </w:r>
    </w:p>
    <w:p w:rsidR="001003B8" w:rsidRDefault="001003B8" w:rsidP="001003B8">
      <w:pPr>
        <w:jc w:val="both"/>
        <w:rPr>
          <w:rFonts w:ascii="Times New Roman" w:hAnsi="Times New Roman" w:cs="Times New Roman"/>
          <w:sz w:val="28"/>
          <w:szCs w:val="28"/>
        </w:rPr>
      </w:pPr>
      <w:r>
        <w:rPr>
          <w:rFonts w:ascii="Times New Roman" w:hAnsi="Times New Roman" w:cs="Times New Roman"/>
          <w:sz w:val="28"/>
          <w:szCs w:val="28"/>
        </w:rPr>
        <w:t xml:space="preserve">In a preliminary objection, the respondent argued that </w:t>
      </w:r>
      <w:r w:rsidR="007F4C81">
        <w:rPr>
          <w:rFonts w:ascii="Times New Roman" w:hAnsi="Times New Roman" w:cs="Times New Roman"/>
          <w:sz w:val="28"/>
          <w:szCs w:val="28"/>
        </w:rPr>
        <w:t>without</w:t>
      </w:r>
      <w:r>
        <w:rPr>
          <w:rFonts w:ascii="Times New Roman" w:hAnsi="Times New Roman" w:cs="Times New Roman"/>
          <w:sz w:val="28"/>
          <w:szCs w:val="28"/>
        </w:rPr>
        <w:t xml:space="preserve"> leave of court the appellant could not raise grounds of </w:t>
      </w:r>
      <w:r>
        <w:rPr>
          <w:rFonts w:ascii="Times New Roman" w:hAnsi="Times New Roman" w:cs="Times New Roman"/>
          <w:sz w:val="28"/>
          <w:szCs w:val="28"/>
          <w:u w:val="single"/>
        </w:rPr>
        <w:t>fact</w:t>
      </w:r>
      <w:r>
        <w:rPr>
          <w:rFonts w:ascii="Times New Roman" w:hAnsi="Times New Roman" w:cs="Times New Roman"/>
          <w:sz w:val="28"/>
          <w:szCs w:val="28"/>
        </w:rPr>
        <w:t xml:space="preserve"> or of </w:t>
      </w:r>
      <w:r>
        <w:rPr>
          <w:rFonts w:ascii="Times New Roman" w:hAnsi="Times New Roman" w:cs="Times New Roman"/>
          <w:sz w:val="28"/>
          <w:szCs w:val="28"/>
          <w:u w:val="single"/>
        </w:rPr>
        <w:t>mixed law and fact</w:t>
      </w:r>
      <w:r>
        <w:rPr>
          <w:rFonts w:ascii="Times New Roman" w:hAnsi="Times New Roman" w:cs="Times New Roman"/>
          <w:sz w:val="28"/>
          <w:szCs w:val="28"/>
        </w:rPr>
        <w:t xml:space="preserve"> which this </w:t>
      </w:r>
      <w:r w:rsidR="007F4C81">
        <w:rPr>
          <w:rFonts w:ascii="Times New Roman" w:hAnsi="Times New Roman" w:cs="Times New Roman"/>
          <w:sz w:val="28"/>
          <w:szCs w:val="28"/>
        </w:rPr>
        <w:t>court</w:t>
      </w:r>
      <w:r w:rsidR="00DC1A7D">
        <w:rPr>
          <w:rFonts w:ascii="Times New Roman" w:hAnsi="Times New Roman" w:cs="Times New Roman"/>
          <w:sz w:val="28"/>
          <w:szCs w:val="28"/>
        </w:rPr>
        <w:t xml:space="preserve"> overruled by citing the case</w:t>
      </w:r>
      <w:r>
        <w:rPr>
          <w:rFonts w:ascii="Times New Roman" w:hAnsi="Times New Roman" w:cs="Times New Roman"/>
          <w:sz w:val="28"/>
          <w:szCs w:val="28"/>
        </w:rPr>
        <w:t xml:space="preserve"> </w:t>
      </w:r>
      <w:r w:rsidR="00DC1A7D">
        <w:rPr>
          <w:rFonts w:ascii="Times New Roman" w:hAnsi="Times New Roman" w:cs="Times New Roman"/>
          <w:sz w:val="28"/>
          <w:szCs w:val="28"/>
        </w:rPr>
        <w:t>o</w:t>
      </w:r>
      <w:r>
        <w:rPr>
          <w:rFonts w:ascii="Times New Roman" w:hAnsi="Times New Roman" w:cs="Times New Roman"/>
          <w:sz w:val="28"/>
          <w:szCs w:val="28"/>
        </w:rPr>
        <w:t xml:space="preserve">f </w:t>
      </w:r>
      <w:proofErr w:type="spellStart"/>
      <w:r w:rsidRPr="00DC1A7D">
        <w:rPr>
          <w:rFonts w:ascii="Times New Roman" w:hAnsi="Times New Roman" w:cs="Times New Roman"/>
          <w:b/>
          <w:sz w:val="28"/>
          <w:szCs w:val="28"/>
          <w:u w:val="single"/>
        </w:rPr>
        <w:t>Baingana</w:t>
      </w:r>
      <w:proofErr w:type="spellEnd"/>
      <w:r w:rsidRPr="00DC1A7D">
        <w:rPr>
          <w:rFonts w:ascii="Times New Roman" w:hAnsi="Times New Roman" w:cs="Times New Roman"/>
          <w:b/>
          <w:sz w:val="28"/>
          <w:szCs w:val="28"/>
          <w:u w:val="single"/>
        </w:rPr>
        <w:t xml:space="preserve"> J. P. </w:t>
      </w:r>
      <w:proofErr w:type="spellStart"/>
      <w:r w:rsidRPr="00DC1A7D">
        <w:rPr>
          <w:rFonts w:ascii="Times New Roman" w:hAnsi="Times New Roman" w:cs="Times New Roman"/>
          <w:b/>
          <w:sz w:val="28"/>
          <w:szCs w:val="28"/>
          <w:u w:val="single"/>
        </w:rPr>
        <w:t>Vs</w:t>
      </w:r>
      <w:proofErr w:type="spellEnd"/>
      <w:r w:rsidRPr="00DC1A7D">
        <w:rPr>
          <w:rFonts w:ascii="Times New Roman" w:hAnsi="Times New Roman" w:cs="Times New Roman"/>
          <w:b/>
          <w:sz w:val="28"/>
          <w:szCs w:val="28"/>
          <w:u w:val="single"/>
        </w:rPr>
        <w:t xml:space="preserve"> Uganda</w:t>
      </w:r>
      <w:r w:rsidR="00815EE4">
        <w:rPr>
          <w:rFonts w:ascii="Times New Roman" w:hAnsi="Times New Roman" w:cs="Times New Roman"/>
          <w:b/>
          <w:sz w:val="28"/>
          <w:szCs w:val="28"/>
        </w:rPr>
        <w:t xml:space="preserve">  </w:t>
      </w:r>
      <w:proofErr w:type="spellStart"/>
      <w:r w:rsidR="00815EE4">
        <w:rPr>
          <w:rFonts w:ascii="Times New Roman" w:hAnsi="Times New Roman" w:cs="Times New Roman"/>
          <w:b/>
          <w:sz w:val="28"/>
          <w:szCs w:val="28"/>
        </w:rPr>
        <w:t>Crim.</w:t>
      </w:r>
      <w:r w:rsidRPr="00DC1A7D">
        <w:rPr>
          <w:rFonts w:ascii="Times New Roman" w:hAnsi="Times New Roman" w:cs="Times New Roman"/>
          <w:b/>
          <w:sz w:val="28"/>
          <w:szCs w:val="28"/>
        </w:rPr>
        <w:t>A</w:t>
      </w:r>
      <w:r w:rsidR="00815EE4">
        <w:rPr>
          <w:rFonts w:ascii="Times New Roman" w:hAnsi="Times New Roman" w:cs="Times New Roman"/>
          <w:b/>
          <w:sz w:val="28"/>
          <w:szCs w:val="28"/>
        </w:rPr>
        <w:t>pp</w:t>
      </w:r>
      <w:proofErr w:type="spellEnd"/>
      <w:r w:rsidR="00815EE4">
        <w:rPr>
          <w:rFonts w:ascii="Times New Roman" w:hAnsi="Times New Roman" w:cs="Times New Roman"/>
          <w:b/>
          <w:sz w:val="28"/>
          <w:szCs w:val="28"/>
        </w:rPr>
        <w:t>.</w:t>
      </w:r>
      <w:r w:rsidRPr="00DC1A7D">
        <w:rPr>
          <w:rFonts w:ascii="Times New Roman" w:hAnsi="Times New Roman" w:cs="Times New Roman"/>
          <w:b/>
          <w:sz w:val="28"/>
          <w:szCs w:val="28"/>
        </w:rPr>
        <w:t xml:space="preserve"> No. 068/2016</w:t>
      </w:r>
      <w:r w:rsidR="00815EE4">
        <w:rPr>
          <w:rFonts w:ascii="Times New Roman" w:hAnsi="Times New Roman" w:cs="Times New Roman"/>
          <w:b/>
          <w:sz w:val="28"/>
          <w:szCs w:val="28"/>
        </w:rPr>
        <w:t>(C.O.A)</w:t>
      </w:r>
      <w:r>
        <w:rPr>
          <w:rFonts w:ascii="Times New Roman" w:hAnsi="Times New Roman" w:cs="Times New Roman"/>
          <w:sz w:val="28"/>
          <w:szCs w:val="28"/>
        </w:rPr>
        <w:t xml:space="preserve"> </w:t>
      </w:r>
      <w:r w:rsidR="00815EE4">
        <w:rPr>
          <w:rFonts w:ascii="Times New Roman" w:hAnsi="Times New Roman" w:cs="Times New Roman"/>
          <w:sz w:val="28"/>
          <w:szCs w:val="28"/>
        </w:rPr>
        <w:t>that held</w:t>
      </w:r>
      <w:r>
        <w:rPr>
          <w:rFonts w:ascii="Times New Roman" w:hAnsi="Times New Roman" w:cs="Times New Roman"/>
          <w:sz w:val="28"/>
          <w:szCs w:val="28"/>
        </w:rPr>
        <w:t xml:space="preserve"> evaluation of evidence to be a matter of law.</w:t>
      </w:r>
    </w:p>
    <w:p w:rsidR="001003B8" w:rsidRDefault="001003B8" w:rsidP="001003B8">
      <w:pPr>
        <w:jc w:val="both"/>
        <w:rPr>
          <w:rFonts w:ascii="Times New Roman" w:hAnsi="Times New Roman" w:cs="Times New Roman"/>
          <w:sz w:val="28"/>
          <w:szCs w:val="28"/>
        </w:rPr>
      </w:pPr>
      <w:r>
        <w:rPr>
          <w:rFonts w:ascii="Times New Roman" w:hAnsi="Times New Roman" w:cs="Times New Roman"/>
          <w:sz w:val="28"/>
          <w:szCs w:val="28"/>
        </w:rPr>
        <w:t>With the above background, we will go on to re-evaluate the evidence on the r</w:t>
      </w:r>
      <w:r w:rsidR="007F4C81">
        <w:rPr>
          <w:rFonts w:ascii="Times New Roman" w:hAnsi="Times New Roman" w:cs="Times New Roman"/>
          <w:sz w:val="28"/>
          <w:szCs w:val="28"/>
        </w:rPr>
        <w:t>e</w:t>
      </w:r>
      <w:r w:rsidR="00815EE4">
        <w:rPr>
          <w:rFonts w:ascii="Times New Roman" w:hAnsi="Times New Roman" w:cs="Times New Roman"/>
          <w:sz w:val="28"/>
          <w:szCs w:val="28"/>
        </w:rPr>
        <w:t xml:space="preserve">cord as a first appellate </w:t>
      </w:r>
      <w:r>
        <w:rPr>
          <w:rFonts w:ascii="Times New Roman" w:hAnsi="Times New Roman" w:cs="Times New Roman"/>
          <w:sz w:val="28"/>
          <w:szCs w:val="28"/>
        </w:rPr>
        <w:t xml:space="preserve">court and reach </w:t>
      </w:r>
      <w:r w:rsidR="00685AAD">
        <w:rPr>
          <w:rFonts w:ascii="Times New Roman" w:hAnsi="Times New Roman" w:cs="Times New Roman"/>
          <w:sz w:val="28"/>
          <w:szCs w:val="28"/>
        </w:rPr>
        <w:t xml:space="preserve">a conclusion which may or may not be in support of the decision of the </w:t>
      </w:r>
      <w:proofErr w:type="spellStart"/>
      <w:r w:rsidR="00685AAD">
        <w:rPr>
          <w:rFonts w:ascii="Times New Roman" w:hAnsi="Times New Roman" w:cs="Times New Roman"/>
          <w:sz w:val="28"/>
          <w:szCs w:val="28"/>
        </w:rPr>
        <w:t>labour</w:t>
      </w:r>
      <w:proofErr w:type="spellEnd"/>
      <w:r w:rsidR="00685AAD">
        <w:rPr>
          <w:rFonts w:ascii="Times New Roman" w:hAnsi="Times New Roman" w:cs="Times New Roman"/>
          <w:sz w:val="28"/>
          <w:szCs w:val="28"/>
        </w:rPr>
        <w:t xml:space="preserve"> officer.</w:t>
      </w:r>
    </w:p>
    <w:p w:rsidR="00685AAD" w:rsidRDefault="00685AAD" w:rsidP="001003B8">
      <w:pPr>
        <w:jc w:val="both"/>
        <w:rPr>
          <w:rFonts w:ascii="Times New Roman" w:hAnsi="Times New Roman" w:cs="Times New Roman"/>
          <w:sz w:val="28"/>
          <w:szCs w:val="28"/>
        </w:rPr>
      </w:pPr>
      <w:r>
        <w:rPr>
          <w:rFonts w:ascii="Times New Roman" w:hAnsi="Times New Roman" w:cs="Times New Roman"/>
          <w:sz w:val="28"/>
          <w:szCs w:val="28"/>
        </w:rPr>
        <w:t xml:space="preserve">The first ground relates to whether or not the appellant was entitled to a salary </w:t>
      </w:r>
      <w:r w:rsidR="000C3177">
        <w:rPr>
          <w:rFonts w:ascii="Times New Roman" w:hAnsi="Times New Roman" w:cs="Times New Roman"/>
          <w:sz w:val="28"/>
          <w:szCs w:val="28"/>
        </w:rPr>
        <w:t>payment after 31/12/2015 up to when he filed his resignation.</w:t>
      </w:r>
    </w:p>
    <w:p w:rsidR="000C3177" w:rsidRDefault="00815EE4" w:rsidP="001003B8">
      <w:pPr>
        <w:jc w:val="both"/>
        <w:rPr>
          <w:rFonts w:ascii="Times New Roman" w:hAnsi="Times New Roman" w:cs="Times New Roman"/>
          <w:sz w:val="28"/>
          <w:szCs w:val="28"/>
        </w:rPr>
      </w:pPr>
      <w:r>
        <w:rPr>
          <w:rFonts w:ascii="Times New Roman" w:hAnsi="Times New Roman" w:cs="Times New Roman"/>
          <w:sz w:val="28"/>
          <w:szCs w:val="28"/>
        </w:rPr>
        <w:t>It was the cont</w:t>
      </w:r>
      <w:r w:rsidR="000C3177">
        <w:rPr>
          <w:rFonts w:ascii="Times New Roman" w:hAnsi="Times New Roman" w:cs="Times New Roman"/>
          <w:sz w:val="28"/>
          <w:szCs w:val="28"/>
        </w:rPr>
        <w:t>ention of the respondent in the evidence adduced that the notice of alignment of the appellant’s job description was a termination from employment.</w:t>
      </w:r>
    </w:p>
    <w:p w:rsidR="000C3177" w:rsidRDefault="000C3177" w:rsidP="001003B8">
      <w:pPr>
        <w:jc w:val="both"/>
        <w:rPr>
          <w:rFonts w:ascii="Times New Roman" w:hAnsi="Times New Roman" w:cs="Times New Roman"/>
          <w:sz w:val="28"/>
          <w:szCs w:val="28"/>
        </w:rPr>
      </w:pPr>
      <w:r>
        <w:rPr>
          <w:rFonts w:ascii="Times New Roman" w:hAnsi="Times New Roman" w:cs="Times New Roman"/>
          <w:sz w:val="28"/>
          <w:szCs w:val="28"/>
        </w:rPr>
        <w:t>However it was the submission of counsel for the appellant that given the ev</w:t>
      </w:r>
      <w:r w:rsidR="00934D02">
        <w:rPr>
          <w:rFonts w:ascii="Times New Roman" w:hAnsi="Times New Roman" w:cs="Times New Roman"/>
          <w:sz w:val="28"/>
          <w:szCs w:val="28"/>
        </w:rPr>
        <w:t xml:space="preserve">idence of one Irene </w:t>
      </w:r>
      <w:proofErr w:type="spellStart"/>
      <w:proofErr w:type="gramStart"/>
      <w:r w:rsidR="00934D02">
        <w:rPr>
          <w:rFonts w:ascii="Times New Roman" w:hAnsi="Times New Roman" w:cs="Times New Roman"/>
          <w:sz w:val="28"/>
          <w:szCs w:val="28"/>
        </w:rPr>
        <w:t>Kasiita</w:t>
      </w:r>
      <w:proofErr w:type="spellEnd"/>
      <w:r w:rsidR="00934D02">
        <w:rPr>
          <w:rFonts w:ascii="Times New Roman" w:hAnsi="Times New Roman" w:cs="Times New Roman"/>
          <w:sz w:val="28"/>
          <w:szCs w:val="28"/>
        </w:rPr>
        <w:t xml:space="preserve"> </w:t>
      </w:r>
      <w:r>
        <w:rPr>
          <w:rFonts w:ascii="Times New Roman" w:hAnsi="Times New Roman" w:cs="Times New Roman"/>
          <w:sz w:val="28"/>
          <w:szCs w:val="28"/>
        </w:rPr>
        <w:t xml:space="preserve"> that</w:t>
      </w:r>
      <w:proofErr w:type="gramEnd"/>
      <w:r>
        <w:rPr>
          <w:rFonts w:ascii="Times New Roman" w:hAnsi="Times New Roman" w:cs="Times New Roman"/>
          <w:sz w:val="28"/>
          <w:szCs w:val="28"/>
        </w:rPr>
        <w:t xml:space="preserve"> the appellant left the </w:t>
      </w:r>
      <w:r w:rsidR="00934D02">
        <w:rPr>
          <w:rFonts w:ascii="Times New Roman" w:hAnsi="Times New Roman" w:cs="Times New Roman"/>
          <w:sz w:val="28"/>
          <w:szCs w:val="28"/>
        </w:rPr>
        <w:t>organization</w:t>
      </w:r>
      <w:r>
        <w:rPr>
          <w:rFonts w:ascii="Times New Roman" w:hAnsi="Times New Roman" w:cs="Times New Roman"/>
          <w:sz w:val="28"/>
          <w:szCs w:val="28"/>
        </w:rPr>
        <w:t xml:space="preserve"> in March 2016 and the evidence of the appellant that he was encouraged to continue working at the Headquarters to the extent that he designed a work plan and budget plan for 2016, he could not have been terminated by virtue of the notice of realignment. </w:t>
      </w:r>
    </w:p>
    <w:p w:rsidR="00C06D64" w:rsidRPr="00236429" w:rsidRDefault="00C06D64" w:rsidP="00815EE4">
      <w:pPr>
        <w:spacing w:before="240"/>
        <w:jc w:val="both"/>
        <w:rPr>
          <w:rFonts w:ascii="Times New Roman" w:hAnsi="Times New Roman" w:cs="Times New Roman"/>
          <w:b/>
          <w:sz w:val="28"/>
          <w:szCs w:val="28"/>
        </w:rPr>
      </w:pPr>
      <w:r>
        <w:rPr>
          <w:rFonts w:ascii="Times New Roman" w:hAnsi="Times New Roman" w:cs="Times New Roman"/>
          <w:sz w:val="28"/>
          <w:szCs w:val="28"/>
        </w:rPr>
        <w:t xml:space="preserve">The content of the notice of realignment of the job description of the claimant in our considered view did not constitute a termination of employment. </w:t>
      </w:r>
      <w:r w:rsidR="00815EE4">
        <w:rPr>
          <w:rFonts w:ascii="Times New Roman" w:hAnsi="Times New Roman" w:cs="Times New Roman"/>
          <w:sz w:val="28"/>
          <w:szCs w:val="28"/>
        </w:rPr>
        <w:t>The</w:t>
      </w:r>
      <w:r>
        <w:rPr>
          <w:rFonts w:ascii="Times New Roman" w:hAnsi="Times New Roman" w:cs="Times New Roman"/>
          <w:sz w:val="28"/>
          <w:szCs w:val="28"/>
        </w:rPr>
        <w:t xml:space="preserve"> </w:t>
      </w:r>
      <w:r w:rsidR="00236429">
        <w:rPr>
          <w:rFonts w:ascii="Times New Roman" w:hAnsi="Times New Roman" w:cs="Times New Roman"/>
          <w:sz w:val="28"/>
          <w:szCs w:val="28"/>
        </w:rPr>
        <w:t>notice stated (inter</w:t>
      </w:r>
      <w:r w:rsidR="00815EE4">
        <w:rPr>
          <w:rFonts w:ascii="Times New Roman" w:hAnsi="Times New Roman" w:cs="Times New Roman"/>
          <w:sz w:val="28"/>
          <w:szCs w:val="28"/>
        </w:rPr>
        <w:t xml:space="preserve"> alia</w:t>
      </w:r>
      <w:r w:rsidR="00815EE4" w:rsidRPr="00236429">
        <w:rPr>
          <w:rFonts w:ascii="Times New Roman" w:hAnsi="Times New Roman" w:cs="Times New Roman"/>
          <w:b/>
          <w:sz w:val="28"/>
          <w:szCs w:val="28"/>
        </w:rPr>
        <w:t xml:space="preserve">) </w:t>
      </w:r>
      <w:r w:rsidR="00236429" w:rsidRPr="00236429">
        <w:rPr>
          <w:rFonts w:ascii="Times New Roman" w:hAnsi="Times New Roman" w:cs="Times New Roman"/>
          <w:b/>
          <w:sz w:val="28"/>
          <w:szCs w:val="28"/>
        </w:rPr>
        <w:t>“This</w:t>
      </w:r>
      <w:r w:rsidR="00815EE4" w:rsidRPr="00236429">
        <w:rPr>
          <w:rFonts w:ascii="Times New Roman" w:hAnsi="Times New Roman" w:cs="Times New Roman"/>
          <w:b/>
          <w:sz w:val="28"/>
          <w:szCs w:val="28"/>
        </w:rPr>
        <w:t xml:space="preserve"> notice of engagement does not represent a contract with </w:t>
      </w:r>
      <w:r w:rsidR="001B78B5" w:rsidRPr="00236429">
        <w:rPr>
          <w:rFonts w:ascii="Times New Roman" w:hAnsi="Times New Roman" w:cs="Times New Roman"/>
          <w:b/>
          <w:sz w:val="28"/>
          <w:szCs w:val="28"/>
        </w:rPr>
        <w:lastRenderedPageBreak/>
        <w:t xml:space="preserve">Uganda Red Cross </w:t>
      </w:r>
      <w:r w:rsidR="00236429" w:rsidRPr="00236429">
        <w:rPr>
          <w:rFonts w:ascii="Times New Roman" w:hAnsi="Times New Roman" w:cs="Times New Roman"/>
          <w:b/>
          <w:sz w:val="28"/>
          <w:szCs w:val="28"/>
        </w:rPr>
        <w:t>Society (</w:t>
      </w:r>
      <w:r w:rsidR="001B78B5" w:rsidRPr="00236429">
        <w:rPr>
          <w:rFonts w:ascii="Times New Roman" w:hAnsi="Times New Roman" w:cs="Times New Roman"/>
          <w:b/>
          <w:sz w:val="28"/>
          <w:szCs w:val="28"/>
        </w:rPr>
        <w:t xml:space="preserve">URCS) but rather a statement </w:t>
      </w:r>
      <w:r w:rsidR="00236429" w:rsidRPr="00236429">
        <w:rPr>
          <w:rFonts w:ascii="Times New Roman" w:hAnsi="Times New Roman" w:cs="Times New Roman"/>
          <w:b/>
          <w:sz w:val="28"/>
          <w:szCs w:val="28"/>
        </w:rPr>
        <w:t>of intent</w:t>
      </w:r>
      <w:r w:rsidR="001B78B5" w:rsidRPr="00236429">
        <w:rPr>
          <w:rFonts w:ascii="Times New Roman" w:hAnsi="Times New Roman" w:cs="Times New Roman"/>
          <w:b/>
          <w:sz w:val="28"/>
          <w:szCs w:val="28"/>
        </w:rPr>
        <w:t xml:space="preserve"> on the part of </w:t>
      </w:r>
      <w:r w:rsidR="00236429" w:rsidRPr="00236429">
        <w:rPr>
          <w:rFonts w:ascii="Times New Roman" w:hAnsi="Times New Roman" w:cs="Times New Roman"/>
          <w:b/>
          <w:sz w:val="28"/>
          <w:szCs w:val="28"/>
        </w:rPr>
        <w:t>URCS to</w:t>
      </w:r>
      <w:r w:rsidR="001B78B5" w:rsidRPr="00236429">
        <w:rPr>
          <w:rFonts w:ascii="Times New Roman" w:hAnsi="Times New Roman" w:cs="Times New Roman"/>
          <w:b/>
          <w:sz w:val="28"/>
          <w:szCs w:val="28"/>
        </w:rPr>
        <w:t xml:space="preserve"> continue engaging </w:t>
      </w:r>
      <w:r w:rsidR="00236429" w:rsidRPr="00236429">
        <w:rPr>
          <w:rFonts w:ascii="Times New Roman" w:hAnsi="Times New Roman" w:cs="Times New Roman"/>
          <w:b/>
          <w:sz w:val="28"/>
          <w:szCs w:val="28"/>
        </w:rPr>
        <w:t>you as</w:t>
      </w:r>
      <w:r w:rsidR="001B78B5" w:rsidRPr="00236429">
        <w:rPr>
          <w:rFonts w:ascii="Times New Roman" w:hAnsi="Times New Roman" w:cs="Times New Roman"/>
          <w:b/>
          <w:sz w:val="28"/>
          <w:szCs w:val="28"/>
        </w:rPr>
        <w:t xml:space="preserve"> resource mobilization officer under new terms of </w:t>
      </w:r>
      <w:r w:rsidR="00236429" w:rsidRPr="00236429">
        <w:rPr>
          <w:rFonts w:ascii="Times New Roman" w:hAnsi="Times New Roman" w:cs="Times New Roman"/>
          <w:b/>
          <w:sz w:val="28"/>
          <w:szCs w:val="28"/>
        </w:rPr>
        <w:t>engagement</w:t>
      </w:r>
      <w:r w:rsidR="001B78B5" w:rsidRPr="00236429">
        <w:rPr>
          <w:rFonts w:ascii="Times New Roman" w:hAnsi="Times New Roman" w:cs="Times New Roman"/>
          <w:b/>
          <w:sz w:val="28"/>
          <w:szCs w:val="28"/>
        </w:rPr>
        <w:t>. Subsequently this automatically nullifies your current contract and in accordance with  staff standing regulations you are given one month notice effective 1</w:t>
      </w:r>
      <w:r w:rsidR="001B78B5" w:rsidRPr="00236429">
        <w:rPr>
          <w:rFonts w:ascii="Times New Roman" w:hAnsi="Times New Roman" w:cs="Times New Roman"/>
          <w:b/>
          <w:sz w:val="28"/>
          <w:szCs w:val="28"/>
          <w:vertAlign w:val="superscript"/>
        </w:rPr>
        <w:t>st</w:t>
      </w:r>
      <w:r w:rsidR="001B78B5" w:rsidRPr="00236429">
        <w:rPr>
          <w:rFonts w:ascii="Times New Roman" w:hAnsi="Times New Roman" w:cs="Times New Roman"/>
          <w:b/>
          <w:sz w:val="28"/>
          <w:szCs w:val="28"/>
        </w:rPr>
        <w:t xml:space="preserve"> December 2016” </w:t>
      </w:r>
      <w:r w:rsidR="00236429">
        <w:rPr>
          <w:rFonts w:ascii="Times New Roman" w:hAnsi="Times New Roman" w:cs="Times New Roman"/>
          <w:b/>
          <w:sz w:val="28"/>
          <w:szCs w:val="28"/>
        </w:rPr>
        <w:t>.</w:t>
      </w:r>
    </w:p>
    <w:p w:rsidR="00C06D64" w:rsidRDefault="00C06D64" w:rsidP="001003B8">
      <w:pPr>
        <w:jc w:val="both"/>
        <w:rPr>
          <w:rFonts w:ascii="Times New Roman" w:hAnsi="Times New Roman" w:cs="Times New Roman"/>
          <w:sz w:val="28"/>
          <w:szCs w:val="28"/>
        </w:rPr>
      </w:pPr>
      <w:r>
        <w:rPr>
          <w:rFonts w:ascii="Times New Roman" w:hAnsi="Times New Roman" w:cs="Times New Roman"/>
          <w:sz w:val="28"/>
          <w:szCs w:val="28"/>
        </w:rPr>
        <w:t xml:space="preserve">On perusal of the notice, we form the opinion that the payment for the services of the appellant from January 2016 on words would be dependent on an agreed arrangement between then and the respondent. </w:t>
      </w:r>
      <w:r w:rsidR="0010072C">
        <w:rPr>
          <w:rFonts w:ascii="Times New Roman" w:hAnsi="Times New Roman" w:cs="Times New Roman"/>
          <w:sz w:val="28"/>
          <w:szCs w:val="28"/>
        </w:rPr>
        <w:t xml:space="preserve"> Although</w:t>
      </w:r>
      <w:r w:rsidR="00633739">
        <w:rPr>
          <w:rFonts w:ascii="Times New Roman" w:hAnsi="Times New Roman" w:cs="Times New Roman"/>
          <w:sz w:val="28"/>
          <w:szCs w:val="28"/>
        </w:rPr>
        <w:t xml:space="preserve"> t</w:t>
      </w:r>
      <w:r>
        <w:rPr>
          <w:rFonts w:ascii="Times New Roman" w:hAnsi="Times New Roman" w:cs="Times New Roman"/>
          <w:sz w:val="28"/>
          <w:szCs w:val="28"/>
        </w:rPr>
        <w:t>he notice</w:t>
      </w:r>
      <w:r w:rsidR="0010072C">
        <w:rPr>
          <w:rFonts w:ascii="Times New Roman" w:hAnsi="Times New Roman" w:cs="Times New Roman"/>
          <w:sz w:val="28"/>
          <w:szCs w:val="28"/>
        </w:rPr>
        <w:t xml:space="preserve"> “automatically nullified” the contract it</w:t>
      </w:r>
      <w:r>
        <w:rPr>
          <w:rFonts w:ascii="Times New Roman" w:hAnsi="Times New Roman" w:cs="Times New Roman"/>
          <w:sz w:val="28"/>
          <w:szCs w:val="28"/>
        </w:rPr>
        <w:t xml:space="preserve"> did not stop the appellant from working. </w:t>
      </w:r>
      <w:r w:rsidR="0010072C">
        <w:rPr>
          <w:rFonts w:ascii="Times New Roman" w:hAnsi="Times New Roman" w:cs="Times New Roman"/>
          <w:sz w:val="28"/>
          <w:szCs w:val="28"/>
        </w:rPr>
        <w:t xml:space="preserve"> It was expected that both parties would sign a new employment contract based on new terms.  The notice provided tha</w:t>
      </w:r>
      <w:r w:rsidR="00D32E24">
        <w:rPr>
          <w:rFonts w:ascii="Times New Roman" w:hAnsi="Times New Roman" w:cs="Times New Roman"/>
          <w:sz w:val="28"/>
          <w:szCs w:val="28"/>
        </w:rPr>
        <w:t xml:space="preserve">t </w:t>
      </w:r>
      <w:r w:rsidR="00633739">
        <w:rPr>
          <w:rFonts w:ascii="Times New Roman" w:hAnsi="Times New Roman" w:cs="Times New Roman"/>
          <w:sz w:val="28"/>
          <w:szCs w:val="28"/>
        </w:rPr>
        <w:t>arrangements</w:t>
      </w:r>
      <w:r w:rsidR="00D32E24">
        <w:rPr>
          <w:rFonts w:ascii="Times New Roman" w:hAnsi="Times New Roman" w:cs="Times New Roman"/>
          <w:sz w:val="28"/>
          <w:szCs w:val="28"/>
        </w:rPr>
        <w:t xml:space="preserve"> of how to pay the claimant would be ‘WORKED OUT AND AGREED WITH MANAGEMENT BY THE END OF DECEMBER 2016’. </w:t>
      </w:r>
      <w:r>
        <w:rPr>
          <w:rFonts w:ascii="Times New Roman" w:hAnsi="Times New Roman" w:cs="Times New Roman"/>
          <w:sz w:val="28"/>
          <w:szCs w:val="28"/>
        </w:rPr>
        <w:t>The burden was on the respondent to provide an agreeable method of paym</w:t>
      </w:r>
      <w:r w:rsidR="00D32E24">
        <w:rPr>
          <w:rFonts w:ascii="Times New Roman" w:hAnsi="Times New Roman" w:cs="Times New Roman"/>
          <w:sz w:val="28"/>
          <w:szCs w:val="28"/>
        </w:rPr>
        <w:t>ent by the end of December 2016, given that the</w:t>
      </w:r>
      <w:r w:rsidR="00633739">
        <w:rPr>
          <w:rFonts w:ascii="Times New Roman" w:hAnsi="Times New Roman" w:cs="Times New Roman"/>
          <w:sz w:val="28"/>
          <w:szCs w:val="28"/>
        </w:rPr>
        <w:t xml:space="preserve"> notice was intended for the respondent to continue engaging the claimant as</w:t>
      </w:r>
      <w:r w:rsidR="00D32E24">
        <w:rPr>
          <w:rFonts w:ascii="Times New Roman" w:hAnsi="Times New Roman" w:cs="Times New Roman"/>
          <w:sz w:val="28"/>
          <w:szCs w:val="28"/>
        </w:rPr>
        <w:t xml:space="preserve"> a mobilization officer.</w:t>
      </w:r>
    </w:p>
    <w:p w:rsidR="00094505" w:rsidRDefault="00C06D64" w:rsidP="001003B8">
      <w:pPr>
        <w:jc w:val="both"/>
        <w:rPr>
          <w:rFonts w:ascii="Times New Roman" w:hAnsi="Times New Roman" w:cs="Times New Roman"/>
          <w:sz w:val="28"/>
          <w:szCs w:val="28"/>
        </w:rPr>
      </w:pPr>
      <w:r>
        <w:rPr>
          <w:rFonts w:ascii="Times New Roman" w:hAnsi="Times New Roman" w:cs="Times New Roman"/>
          <w:sz w:val="28"/>
          <w:szCs w:val="28"/>
        </w:rPr>
        <w:t>The new terms mentioned in the notice would only operate after they were stipulated and agreed upon.  The evidence on the record does not show any steps taken by the respondent towards</w:t>
      </w:r>
      <w:r w:rsidR="00067663">
        <w:rPr>
          <w:rFonts w:ascii="Times New Roman" w:hAnsi="Times New Roman" w:cs="Times New Roman"/>
          <w:sz w:val="28"/>
          <w:szCs w:val="28"/>
        </w:rPr>
        <w:t xml:space="preserve"> issuing new terms of employment to the appellant</w:t>
      </w:r>
      <w:r w:rsidR="00633739">
        <w:rPr>
          <w:rFonts w:ascii="Times New Roman" w:hAnsi="Times New Roman" w:cs="Times New Roman"/>
          <w:sz w:val="28"/>
          <w:szCs w:val="28"/>
        </w:rPr>
        <w:t xml:space="preserve"> yet he was allowed to continue working</w:t>
      </w:r>
      <w:r w:rsidR="00067663">
        <w:rPr>
          <w:rFonts w:ascii="Times New Roman" w:hAnsi="Times New Roman" w:cs="Times New Roman"/>
          <w:sz w:val="28"/>
          <w:szCs w:val="28"/>
        </w:rPr>
        <w:t>.</w:t>
      </w:r>
      <w:r w:rsidR="00E13E7D">
        <w:rPr>
          <w:rFonts w:ascii="Times New Roman" w:hAnsi="Times New Roman" w:cs="Times New Roman"/>
          <w:sz w:val="28"/>
          <w:szCs w:val="28"/>
        </w:rPr>
        <w:t xml:space="preserve"> </w:t>
      </w:r>
      <w:r w:rsidR="00067663">
        <w:rPr>
          <w:rFonts w:ascii="Times New Roman" w:hAnsi="Times New Roman" w:cs="Times New Roman"/>
          <w:sz w:val="28"/>
          <w:szCs w:val="28"/>
        </w:rPr>
        <w:t xml:space="preserve">We take the phrase </w:t>
      </w:r>
      <w:r w:rsidR="00067663">
        <w:rPr>
          <w:rFonts w:ascii="Times New Roman" w:hAnsi="Times New Roman" w:cs="Times New Roman"/>
          <w:b/>
          <w:sz w:val="28"/>
          <w:szCs w:val="28"/>
        </w:rPr>
        <w:t>“you will be remunerated on a new terms of engagement</w:t>
      </w:r>
      <w:r w:rsidR="00067663">
        <w:rPr>
          <w:rFonts w:ascii="Times New Roman" w:hAnsi="Times New Roman" w:cs="Times New Roman"/>
          <w:sz w:val="28"/>
          <w:szCs w:val="28"/>
        </w:rPr>
        <w:t xml:space="preserve"> </w:t>
      </w:r>
      <w:r w:rsidR="00067663" w:rsidRPr="00067663">
        <w:rPr>
          <w:rFonts w:ascii="Times New Roman" w:hAnsi="Times New Roman" w:cs="Times New Roman"/>
          <w:b/>
          <w:sz w:val="28"/>
          <w:szCs w:val="28"/>
        </w:rPr>
        <w:t>that will be informed by the income realized from the cooperate and other fundraising initiative</w:t>
      </w:r>
      <w:proofErr w:type="gramStart"/>
      <w:r w:rsidR="00067663" w:rsidRPr="00067663">
        <w:rPr>
          <w:rFonts w:ascii="Times New Roman" w:hAnsi="Times New Roman" w:cs="Times New Roman"/>
          <w:b/>
          <w:sz w:val="28"/>
          <w:szCs w:val="28"/>
        </w:rPr>
        <w:t>..”</w:t>
      </w:r>
      <w:proofErr w:type="gramEnd"/>
      <w:r w:rsidR="00067663">
        <w:rPr>
          <w:rFonts w:ascii="Times New Roman" w:hAnsi="Times New Roman" w:cs="Times New Roman"/>
          <w:sz w:val="28"/>
          <w:szCs w:val="28"/>
        </w:rPr>
        <w:t xml:space="preserve"> as vague and not constituting any concrete terms of engagement  or constituting a termination of the</w:t>
      </w:r>
      <w:r w:rsidR="00D32E24">
        <w:rPr>
          <w:rFonts w:ascii="Times New Roman" w:hAnsi="Times New Roman" w:cs="Times New Roman"/>
          <w:sz w:val="28"/>
          <w:szCs w:val="28"/>
        </w:rPr>
        <w:t xml:space="preserve"> previous remuneration terms</w:t>
      </w:r>
      <w:r w:rsidR="00067663">
        <w:rPr>
          <w:rFonts w:ascii="Times New Roman" w:hAnsi="Times New Roman" w:cs="Times New Roman"/>
          <w:sz w:val="28"/>
          <w:szCs w:val="28"/>
        </w:rPr>
        <w:t xml:space="preserve">. </w:t>
      </w:r>
      <w:r w:rsidR="005522C6">
        <w:rPr>
          <w:rFonts w:ascii="Times New Roman" w:hAnsi="Times New Roman" w:cs="Times New Roman"/>
          <w:sz w:val="28"/>
          <w:szCs w:val="28"/>
        </w:rPr>
        <w:t xml:space="preserve"> </w:t>
      </w:r>
      <w:r w:rsidR="00067663">
        <w:rPr>
          <w:rFonts w:ascii="Times New Roman" w:hAnsi="Times New Roman" w:cs="Times New Roman"/>
          <w:sz w:val="28"/>
          <w:szCs w:val="28"/>
        </w:rPr>
        <w:t xml:space="preserve"> In cross examination, one Irene </w:t>
      </w:r>
      <w:proofErr w:type="spellStart"/>
      <w:r w:rsidR="00067663">
        <w:rPr>
          <w:rFonts w:ascii="Times New Roman" w:hAnsi="Times New Roman" w:cs="Times New Roman"/>
          <w:sz w:val="28"/>
          <w:szCs w:val="28"/>
        </w:rPr>
        <w:t>Nakasiira</w:t>
      </w:r>
      <w:proofErr w:type="spellEnd"/>
      <w:r w:rsidR="00067663">
        <w:rPr>
          <w:rFonts w:ascii="Times New Roman" w:hAnsi="Times New Roman" w:cs="Times New Roman"/>
          <w:sz w:val="28"/>
          <w:szCs w:val="28"/>
        </w:rPr>
        <w:t xml:space="preserve">, a supervisor of the appellant told the </w:t>
      </w:r>
      <w:proofErr w:type="spellStart"/>
      <w:r w:rsidR="00067663">
        <w:rPr>
          <w:rFonts w:ascii="Times New Roman" w:hAnsi="Times New Roman" w:cs="Times New Roman"/>
          <w:sz w:val="28"/>
          <w:szCs w:val="28"/>
        </w:rPr>
        <w:t>labour</w:t>
      </w:r>
      <w:proofErr w:type="spellEnd"/>
      <w:r w:rsidR="00067663">
        <w:rPr>
          <w:rFonts w:ascii="Times New Roman" w:hAnsi="Times New Roman" w:cs="Times New Roman"/>
          <w:sz w:val="28"/>
          <w:szCs w:val="28"/>
        </w:rPr>
        <w:t xml:space="preserve"> officer that the appellant left appellants </w:t>
      </w:r>
      <w:proofErr w:type="spellStart"/>
      <w:r w:rsidR="00067663">
        <w:rPr>
          <w:rFonts w:ascii="Times New Roman" w:hAnsi="Times New Roman" w:cs="Times New Roman"/>
          <w:sz w:val="28"/>
          <w:szCs w:val="28"/>
        </w:rPr>
        <w:t>organisation</w:t>
      </w:r>
      <w:proofErr w:type="spellEnd"/>
      <w:r w:rsidR="00067663">
        <w:rPr>
          <w:rFonts w:ascii="Times New Roman" w:hAnsi="Times New Roman" w:cs="Times New Roman"/>
          <w:sz w:val="28"/>
          <w:szCs w:val="28"/>
        </w:rPr>
        <w:t xml:space="preserve"> in March</w:t>
      </w:r>
      <w:r w:rsidR="00163AAE">
        <w:rPr>
          <w:rFonts w:ascii="Times New Roman" w:hAnsi="Times New Roman" w:cs="Times New Roman"/>
          <w:sz w:val="28"/>
          <w:szCs w:val="28"/>
        </w:rPr>
        <w:t xml:space="preserve"> 2016.  The evidence is clear on</w:t>
      </w:r>
      <w:r w:rsidR="00067663">
        <w:rPr>
          <w:rFonts w:ascii="Times New Roman" w:hAnsi="Times New Roman" w:cs="Times New Roman"/>
          <w:sz w:val="28"/>
          <w:szCs w:val="28"/>
        </w:rPr>
        <w:t xml:space="preserve"> the record that it is in the reply of the letter of the appellant as he signaled resignation, that the chief executive of the respondent asked him to file a handover report which was not mentioned in the notification of realignment.</w:t>
      </w:r>
      <w:r w:rsidR="00DF439E">
        <w:rPr>
          <w:rFonts w:ascii="Times New Roman" w:hAnsi="Times New Roman" w:cs="Times New Roman"/>
          <w:sz w:val="28"/>
          <w:szCs w:val="28"/>
        </w:rPr>
        <w:t xml:space="preserve"> </w:t>
      </w:r>
      <w:r w:rsidR="00633739">
        <w:rPr>
          <w:rFonts w:ascii="Times New Roman" w:hAnsi="Times New Roman" w:cs="Times New Roman"/>
          <w:sz w:val="28"/>
          <w:szCs w:val="28"/>
        </w:rPr>
        <w:t>By the time the chief E</w:t>
      </w:r>
      <w:r w:rsidR="00094505">
        <w:rPr>
          <w:rFonts w:ascii="Times New Roman" w:hAnsi="Times New Roman" w:cs="Times New Roman"/>
          <w:sz w:val="28"/>
          <w:szCs w:val="28"/>
        </w:rPr>
        <w:t>xecutive</w:t>
      </w:r>
      <w:r w:rsidR="00633739">
        <w:rPr>
          <w:rFonts w:ascii="Times New Roman" w:hAnsi="Times New Roman" w:cs="Times New Roman"/>
          <w:sz w:val="28"/>
          <w:szCs w:val="28"/>
        </w:rPr>
        <w:t xml:space="preserve"> Director</w:t>
      </w:r>
      <w:r w:rsidR="00094505">
        <w:rPr>
          <w:rFonts w:ascii="Times New Roman" w:hAnsi="Times New Roman" w:cs="Times New Roman"/>
          <w:sz w:val="28"/>
          <w:szCs w:val="28"/>
        </w:rPr>
        <w:t xml:space="preserve"> asked the appellant to write a handover report he was aware that the appellant was working for the respondent.</w:t>
      </w:r>
      <w:r w:rsidR="00DF439E">
        <w:rPr>
          <w:rFonts w:ascii="Times New Roman" w:hAnsi="Times New Roman" w:cs="Times New Roman"/>
          <w:sz w:val="28"/>
          <w:szCs w:val="28"/>
        </w:rPr>
        <w:t xml:space="preserve"> The fact that the employer in the instant case fixed a definite time within which the employee</w:t>
      </w:r>
      <w:r w:rsidR="00163AAE">
        <w:rPr>
          <w:rFonts w:ascii="Times New Roman" w:hAnsi="Times New Roman" w:cs="Times New Roman"/>
          <w:sz w:val="28"/>
          <w:szCs w:val="28"/>
        </w:rPr>
        <w:t xml:space="preserve"> would have received new terms of engagement coupled with the fact that the employee continued working and resigned after the said period and before the new terms were in place, in our view, estopped the employer from denying that the employee was working under the previous terms. </w:t>
      </w:r>
      <w:r w:rsidR="00094505">
        <w:rPr>
          <w:rFonts w:ascii="Times New Roman" w:hAnsi="Times New Roman" w:cs="Times New Roman"/>
          <w:sz w:val="28"/>
          <w:szCs w:val="28"/>
        </w:rPr>
        <w:t xml:space="preserve">It is our opinion therefore that the </w:t>
      </w:r>
      <w:r w:rsidR="00094505">
        <w:rPr>
          <w:rFonts w:ascii="Times New Roman" w:hAnsi="Times New Roman" w:cs="Times New Roman"/>
          <w:sz w:val="28"/>
          <w:szCs w:val="28"/>
        </w:rPr>
        <w:lastRenderedPageBreak/>
        <w:t>termination of employment in the instant case occurred when the appellant requested for resignation and</w:t>
      </w:r>
      <w:r w:rsidR="005522C6">
        <w:rPr>
          <w:rFonts w:ascii="Times New Roman" w:hAnsi="Times New Roman" w:cs="Times New Roman"/>
          <w:sz w:val="28"/>
          <w:szCs w:val="28"/>
        </w:rPr>
        <w:t xml:space="preserve"> was</w:t>
      </w:r>
      <w:r w:rsidR="00094505">
        <w:rPr>
          <w:rFonts w:ascii="Times New Roman" w:hAnsi="Times New Roman" w:cs="Times New Roman"/>
          <w:sz w:val="28"/>
          <w:szCs w:val="28"/>
        </w:rPr>
        <w:t xml:space="preserve"> effective</w:t>
      </w:r>
      <w:r w:rsidR="005522C6">
        <w:rPr>
          <w:rFonts w:ascii="Times New Roman" w:hAnsi="Times New Roman" w:cs="Times New Roman"/>
          <w:sz w:val="28"/>
          <w:szCs w:val="28"/>
        </w:rPr>
        <w:t xml:space="preserve"> as at</w:t>
      </w:r>
      <w:r w:rsidR="00094505">
        <w:rPr>
          <w:rFonts w:ascii="Times New Roman" w:hAnsi="Times New Roman" w:cs="Times New Roman"/>
          <w:sz w:val="28"/>
          <w:szCs w:val="28"/>
        </w:rPr>
        <w:t xml:space="preserve"> the time he mentioned in the letter that he was to resign.</w:t>
      </w:r>
    </w:p>
    <w:p w:rsidR="00343255" w:rsidRDefault="00094505" w:rsidP="001003B8">
      <w:pPr>
        <w:jc w:val="both"/>
        <w:rPr>
          <w:rFonts w:ascii="Times New Roman" w:hAnsi="Times New Roman" w:cs="Times New Roman"/>
          <w:sz w:val="28"/>
          <w:szCs w:val="28"/>
        </w:rPr>
      </w:pPr>
      <w:r>
        <w:rPr>
          <w:rFonts w:ascii="Times New Roman" w:hAnsi="Times New Roman" w:cs="Times New Roman"/>
          <w:sz w:val="28"/>
          <w:szCs w:val="28"/>
        </w:rPr>
        <w:t xml:space="preserve">Before we take leave of this ground, we would like to emphasize that under the Employment Act </w:t>
      </w:r>
      <w:r>
        <w:rPr>
          <w:rFonts w:ascii="Times New Roman" w:hAnsi="Times New Roman" w:cs="Times New Roman"/>
          <w:b/>
          <w:sz w:val="28"/>
          <w:szCs w:val="28"/>
        </w:rPr>
        <w:t>Section 81</w:t>
      </w:r>
      <w:r>
        <w:rPr>
          <w:rFonts w:ascii="Times New Roman" w:hAnsi="Times New Roman" w:cs="Times New Roman"/>
          <w:sz w:val="28"/>
          <w:szCs w:val="28"/>
        </w:rPr>
        <w:t xml:space="preserve"> </w:t>
      </w:r>
      <w:r w:rsidR="009F7556">
        <w:rPr>
          <w:rFonts w:ascii="Times New Roman" w:hAnsi="Times New Roman" w:cs="Times New Roman"/>
          <w:sz w:val="28"/>
          <w:szCs w:val="28"/>
        </w:rPr>
        <w:t>alth</w:t>
      </w:r>
      <w:r w:rsidR="00343255">
        <w:rPr>
          <w:rFonts w:ascii="Times New Roman" w:hAnsi="Times New Roman" w:cs="Times New Roman"/>
          <w:sz w:val="28"/>
          <w:szCs w:val="28"/>
        </w:rPr>
        <w:t>ough an employer has the liberty and the law allows him/her to re-organize his/her enterprise because of economic reasons, there  is a procedure such employer is required to employ before the actual reorganization.</w:t>
      </w:r>
      <w:r w:rsidR="00D34C52">
        <w:rPr>
          <w:rFonts w:ascii="Times New Roman" w:hAnsi="Times New Roman" w:cs="Times New Roman"/>
          <w:sz w:val="28"/>
          <w:szCs w:val="28"/>
        </w:rPr>
        <w:t xml:space="preserve">  Such employer has to give prior notic</w:t>
      </w:r>
      <w:r w:rsidR="009F7556">
        <w:rPr>
          <w:rFonts w:ascii="Times New Roman" w:hAnsi="Times New Roman" w:cs="Times New Roman"/>
          <w:sz w:val="28"/>
          <w:szCs w:val="28"/>
        </w:rPr>
        <w:t>e to those employees who are lik</w:t>
      </w:r>
      <w:r w:rsidR="00D34C52">
        <w:rPr>
          <w:rFonts w:ascii="Times New Roman" w:hAnsi="Times New Roman" w:cs="Times New Roman"/>
          <w:sz w:val="28"/>
          <w:szCs w:val="28"/>
        </w:rPr>
        <w:t>ely to be affected by such economic or financial constraints.</w:t>
      </w:r>
    </w:p>
    <w:p w:rsidR="00DB7865" w:rsidRDefault="00D34C52" w:rsidP="001003B8">
      <w:pPr>
        <w:jc w:val="both"/>
        <w:rPr>
          <w:rFonts w:ascii="Times New Roman" w:hAnsi="Times New Roman" w:cs="Times New Roman"/>
          <w:sz w:val="28"/>
          <w:szCs w:val="28"/>
        </w:rPr>
      </w:pPr>
      <w:r>
        <w:rPr>
          <w:rFonts w:ascii="Times New Roman" w:hAnsi="Times New Roman" w:cs="Times New Roman"/>
          <w:sz w:val="28"/>
          <w:szCs w:val="28"/>
        </w:rPr>
        <w:t xml:space="preserve">Evidence on the record reveals financial constraints as the </w:t>
      </w:r>
      <w:r w:rsidR="00F72D37">
        <w:rPr>
          <w:rFonts w:ascii="Times New Roman" w:hAnsi="Times New Roman" w:cs="Times New Roman"/>
          <w:sz w:val="28"/>
          <w:szCs w:val="28"/>
        </w:rPr>
        <w:t>reason for the respondent to notify</w:t>
      </w:r>
      <w:r>
        <w:rPr>
          <w:rFonts w:ascii="Times New Roman" w:hAnsi="Times New Roman" w:cs="Times New Roman"/>
          <w:sz w:val="28"/>
          <w:szCs w:val="28"/>
        </w:rPr>
        <w:t xml:space="preserve"> the appellant of the need to realign his job description which never was.  The notice to realign</w:t>
      </w:r>
      <w:r w:rsidR="009F7556">
        <w:rPr>
          <w:rFonts w:ascii="Times New Roman" w:hAnsi="Times New Roman" w:cs="Times New Roman"/>
          <w:sz w:val="28"/>
          <w:szCs w:val="28"/>
        </w:rPr>
        <w:t xml:space="preserve"> the job, in our opinion, remained</w:t>
      </w:r>
      <w:r>
        <w:rPr>
          <w:rFonts w:ascii="Times New Roman" w:hAnsi="Times New Roman" w:cs="Times New Roman"/>
          <w:sz w:val="28"/>
          <w:szCs w:val="28"/>
        </w:rPr>
        <w:t xml:space="preserve"> as such notice, until the actual </w:t>
      </w:r>
      <w:r w:rsidR="00DB7865">
        <w:rPr>
          <w:rFonts w:ascii="Times New Roman" w:hAnsi="Times New Roman" w:cs="Times New Roman"/>
          <w:sz w:val="28"/>
          <w:szCs w:val="28"/>
        </w:rPr>
        <w:t>realignment would</w:t>
      </w:r>
      <w:r>
        <w:rPr>
          <w:rFonts w:ascii="Times New Roman" w:hAnsi="Times New Roman" w:cs="Times New Roman"/>
          <w:sz w:val="28"/>
          <w:szCs w:val="28"/>
        </w:rPr>
        <w:t xml:space="preserve"> be done and in the meantime the contract of service entered into before the notice continued to run until the appellant </w:t>
      </w:r>
      <w:r w:rsidR="00E63719">
        <w:rPr>
          <w:rFonts w:ascii="Times New Roman" w:hAnsi="Times New Roman" w:cs="Times New Roman"/>
          <w:sz w:val="28"/>
          <w:szCs w:val="28"/>
        </w:rPr>
        <w:t>resigned</w:t>
      </w:r>
      <w:r>
        <w:rPr>
          <w:rFonts w:ascii="Times New Roman" w:hAnsi="Times New Roman" w:cs="Times New Roman"/>
          <w:sz w:val="28"/>
          <w:szCs w:val="28"/>
        </w:rPr>
        <w:t>.</w:t>
      </w:r>
      <w:r w:rsidR="005522C6">
        <w:rPr>
          <w:rFonts w:ascii="Times New Roman" w:hAnsi="Times New Roman" w:cs="Times New Roman"/>
          <w:sz w:val="28"/>
          <w:szCs w:val="28"/>
        </w:rPr>
        <w:t xml:space="preserve"> </w:t>
      </w:r>
      <w:r w:rsidR="00DB7865">
        <w:rPr>
          <w:rFonts w:ascii="Times New Roman" w:hAnsi="Times New Roman" w:cs="Times New Roman"/>
          <w:sz w:val="28"/>
          <w:szCs w:val="28"/>
        </w:rPr>
        <w:t xml:space="preserve">Accordingly we find that the </w:t>
      </w:r>
      <w:proofErr w:type="spellStart"/>
      <w:r w:rsidR="00DB7865">
        <w:rPr>
          <w:rFonts w:ascii="Times New Roman" w:hAnsi="Times New Roman" w:cs="Times New Roman"/>
          <w:sz w:val="28"/>
          <w:szCs w:val="28"/>
        </w:rPr>
        <w:t>labour</w:t>
      </w:r>
      <w:proofErr w:type="spellEnd"/>
      <w:r w:rsidR="00DB7865">
        <w:rPr>
          <w:rFonts w:ascii="Times New Roman" w:hAnsi="Times New Roman" w:cs="Times New Roman"/>
          <w:sz w:val="28"/>
          <w:szCs w:val="28"/>
        </w:rPr>
        <w:t xml:space="preserve"> officer did not address his mind properly to the evidence and this led to a wrong conclusion that the appellant had been terminated by re-alignment </w:t>
      </w:r>
      <w:r w:rsidR="009C4FE6">
        <w:rPr>
          <w:rFonts w:ascii="Times New Roman" w:hAnsi="Times New Roman" w:cs="Times New Roman"/>
          <w:sz w:val="28"/>
          <w:szCs w:val="28"/>
        </w:rPr>
        <w:t>of his job description.  Therefore the appellant was still an employee of the respondent in January –March inclusive and was entitled to a salary.  The first ground of appeal succeeds.</w:t>
      </w:r>
      <w:r w:rsidR="00DB7865">
        <w:rPr>
          <w:rFonts w:ascii="Times New Roman" w:hAnsi="Times New Roman" w:cs="Times New Roman"/>
          <w:sz w:val="28"/>
          <w:szCs w:val="28"/>
        </w:rPr>
        <w:t xml:space="preserve"> </w:t>
      </w:r>
    </w:p>
    <w:p w:rsidR="00682D88" w:rsidRDefault="00682D88" w:rsidP="001003B8">
      <w:pPr>
        <w:jc w:val="both"/>
        <w:rPr>
          <w:rFonts w:ascii="Times New Roman" w:hAnsi="Times New Roman" w:cs="Times New Roman"/>
          <w:sz w:val="28"/>
          <w:szCs w:val="28"/>
        </w:rPr>
      </w:pPr>
      <w:r>
        <w:rPr>
          <w:rFonts w:ascii="Times New Roman" w:hAnsi="Times New Roman" w:cs="Times New Roman"/>
          <w:sz w:val="28"/>
          <w:szCs w:val="28"/>
        </w:rPr>
        <w:t xml:space="preserve">The second ground is that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failed to evaluate evidence and this led him to wrongly conclude that the appellant should make a comprehensive handover report before claiming his provident fund/terminal benefits.</w:t>
      </w:r>
    </w:p>
    <w:p w:rsidR="00A94157" w:rsidRDefault="00A94157" w:rsidP="001003B8">
      <w:pPr>
        <w:jc w:val="both"/>
        <w:rPr>
          <w:rFonts w:ascii="Times New Roman" w:hAnsi="Times New Roman" w:cs="Times New Roman"/>
          <w:sz w:val="28"/>
          <w:szCs w:val="28"/>
        </w:rPr>
      </w:pPr>
      <w:r>
        <w:rPr>
          <w:rFonts w:ascii="Times New Roman" w:hAnsi="Times New Roman" w:cs="Times New Roman"/>
          <w:sz w:val="28"/>
          <w:szCs w:val="28"/>
        </w:rPr>
        <w:t xml:space="preserve">It was the submission of counsel for the appellant that contrary to the ruling of the KCCA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there was no provisions of a handover report as a pre-condition for payment of provident funds.</w:t>
      </w:r>
      <w:r w:rsidR="00E13E7D">
        <w:rPr>
          <w:rFonts w:ascii="Times New Roman" w:hAnsi="Times New Roman" w:cs="Times New Roman"/>
          <w:sz w:val="28"/>
          <w:szCs w:val="28"/>
        </w:rPr>
        <w:t xml:space="preserve"> </w:t>
      </w:r>
      <w:r>
        <w:rPr>
          <w:rFonts w:ascii="Times New Roman" w:hAnsi="Times New Roman" w:cs="Times New Roman"/>
          <w:sz w:val="28"/>
          <w:szCs w:val="28"/>
        </w:rPr>
        <w:t xml:space="preserve">According to counsel, the respondent rejected the handover reports in a bid to frustrate his client’s efforts to recover his provident funds.  Counsel argued that in the absence of a data base or record of a </w:t>
      </w:r>
      <w:r w:rsidR="00275286">
        <w:rPr>
          <w:rFonts w:ascii="Times New Roman" w:hAnsi="Times New Roman" w:cs="Times New Roman"/>
          <w:sz w:val="28"/>
          <w:szCs w:val="28"/>
        </w:rPr>
        <w:t xml:space="preserve">handover to the appellant to which the respondent could refer or an audit of a previous handover to the appellant to which the </w:t>
      </w:r>
      <w:r w:rsidR="005522C6">
        <w:rPr>
          <w:rFonts w:ascii="Times New Roman" w:hAnsi="Times New Roman" w:cs="Times New Roman"/>
          <w:sz w:val="28"/>
          <w:szCs w:val="28"/>
        </w:rPr>
        <w:t xml:space="preserve">respondent could </w:t>
      </w:r>
      <w:r w:rsidR="00275286">
        <w:rPr>
          <w:rFonts w:ascii="Times New Roman" w:hAnsi="Times New Roman" w:cs="Times New Roman"/>
          <w:sz w:val="28"/>
          <w:szCs w:val="28"/>
        </w:rPr>
        <w:t xml:space="preserve">refer or an audit of a previous handover to the appellant to corroborate the claim of the alleged shortage in the appellant’s report, </w:t>
      </w:r>
      <w:r w:rsidR="001C62F4">
        <w:rPr>
          <w:rFonts w:ascii="Times New Roman" w:hAnsi="Times New Roman" w:cs="Times New Roman"/>
          <w:sz w:val="28"/>
          <w:szCs w:val="28"/>
        </w:rPr>
        <w:t>t</w:t>
      </w:r>
      <w:r w:rsidR="00275286">
        <w:rPr>
          <w:rFonts w:ascii="Times New Roman" w:hAnsi="Times New Roman" w:cs="Times New Roman"/>
          <w:sz w:val="28"/>
          <w:szCs w:val="28"/>
        </w:rPr>
        <w:t>he respondent could not rely on the said shortage to deny the respondent his provident fund.</w:t>
      </w:r>
    </w:p>
    <w:p w:rsidR="007F2DAC" w:rsidRPr="006526F7" w:rsidRDefault="00C61189" w:rsidP="001003B8">
      <w:pPr>
        <w:jc w:val="both"/>
        <w:rPr>
          <w:rFonts w:ascii="Times New Roman" w:hAnsi="Times New Roman" w:cs="Times New Roman"/>
          <w:sz w:val="28"/>
          <w:szCs w:val="28"/>
        </w:rPr>
      </w:pPr>
      <w:r>
        <w:rPr>
          <w:rFonts w:ascii="Times New Roman" w:hAnsi="Times New Roman" w:cs="Times New Roman"/>
          <w:sz w:val="28"/>
          <w:szCs w:val="28"/>
        </w:rPr>
        <w:lastRenderedPageBreak/>
        <w:t>On perusal of the evidence on the record we find that the appellant indeed prepared and presented a handover report to the respondent which according to the respondent raised issues and was not comprehensive enough.  It is clear on the evidence adduced that before the appellant took over, no handover report was given to him.  Evidence is lacking as to whether</w:t>
      </w:r>
      <w:r w:rsidR="007F2DAC">
        <w:rPr>
          <w:rFonts w:ascii="Times New Roman" w:hAnsi="Times New Roman" w:cs="Times New Roman"/>
          <w:sz w:val="28"/>
          <w:szCs w:val="28"/>
        </w:rPr>
        <w:t xml:space="preserve"> there was any report about existing stores before the appellant became in-charge.</w:t>
      </w:r>
      <w:r w:rsidR="006526F7">
        <w:rPr>
          <w:rFonts w:ascii="Times New Roman" w:hAnsi="Times New Roman" w:cs="Times New Roman"/>
          <w:sz w:val="28"/>
          <w:szCs w:val="28"/>
        </w:rPr>
        <w:t xml:space="preserve"> </w:t>
      </w:r>
      <w:r w:rsidR="007F2DAC">
        <w:rPr>
          <w:rFonts w:ascii="Times New Roman" w:hAnsi="Times New Roman" w:cs="Times New Roman"/>
          <w:sz w:val="28"/>
          <w:szCs w:val="28"/>
        </w:rPr>
        <w:t>The handover report was rejected for the inconsistences in the numbers of certain items which according to the respondent co</w:t>
      </w:r>
      <w:r w:rsidR="001C62F4">
        <w:rPr>
          <w:rFonts w:ascii="Times New Roman" w:hAnsi="Times New Roman" w:cs="Times New Roman"/>
          <w:sz w:val="28"/>
          <w:szCs w:val="28"/>
        </w:rPr>
        <w:t>nstituted more in the report tha</w:t>
      </w:r>
      <w:r w:rsidR="007F2DAC">
        <w:rPr>
          <w:rFonts w:ascii="Times New Roman" w:hAnsi="Times New Roman" w:cs="Times New Roman"/>
          <w:sz w:val="28"/>
          <w:szCs w:val="28"/>
        </w:rPr>
        <w:t xml:space="preserve">n were on the ground and in some cases less in the </w:t>
      </w:r>
      <w:r w:rsidR="001C62F4">
        <w:rPr>
          <w:rFonts w:ascii="Times New Roman" w:hAnsi="Times New Roman" w:cs="Times New Roman"/>
          <w:sz w:val="28"/>
          <w:szCs w:val="28"/>
        </w:rPr>
        <w:t xml:space="preserve">report than </w:t>
      </w:r>
      <w:r w:rsidR="007F2DAC">
        <w:rPr>
          <w:rFonts w:ascii="Times New Roman" w:hAnsi="Times New Roman" w:cs="Times New Roman"/>
          <w:sz w:val="28"/>
          <w:szCs w:val="28"/>
        </w:rPr>
        <w:t>were on the ground.  The appellant wrote a clarification to the respondent which was received on 29/9/2016.</w:t>
      </w:r>
      <w:r w:rsidR="00842182">
        <w:rPr>
          <w:rFonts w:ascii="Times New Roman" w:hAnsi="Times New Roman" w:cs="Times New Roman"/>
          <w:sz w:val="28"/>
          <w:szCs w:val="28"/>
        </w:rPr>
        <w:t xml:space="preserve">  The question to be determined by court is </w:t>
      </w:r>
      <w:r w:rsidR="00842182" w:rsidRPr="001C62F4">
        <w:rPr>
          <w:rFonts w:ascii="Times New Roman" w:hAnsi="Times New Roman" w:cs="Times New Roman"/>
          <w:b/>
          <w:sz w:val="28"/>
          <w:szCs w:val="28"/>
        </w:rPr>
        <w:t>whether a handover report that does not satisfy the employer is a reason to deny the employee his terminal benefits?</w:t>
      </w:r>
    </w:p>
    <w:p w:rsidR="00D74E0D" w:rsidRDefault="00D74E0D" w:rsidP="001003B8">
      <w:pPr>
        <w:jc w:val="both"/>
        <w:rPr>
          <w:rFonts w:ascii="Times New Roman" w:hAnsi="Times New Roman" w:cs="Times New Roman"/>
          <w:sz w:val="28"/>
          <w:szCs w:val="28"/>
        </w:rPr>
      </w:pPr>
      <w:r>
        <w:rPr>
          <w:rFonts w:ascii="Times New Roman" w:hAnsi="Times New Roman" w:cs="Times New Roman"/>
          <w:sz w:val="28"/>
          <w:szCs w:val="28"/>
        </w:rPr>
        <w:t>According to the con</w:t>
      </w:r>
      <w:r w:rsidR="0002313E">
        <w:rPr>
          <w:rFonts w:ascii="Times New Roman" w:hAnsi="Times New Roman" w:cs="Times New Roman"/>
          <w:sz w:val="28"/>
          <w:szCs w:val="28"/>
        </w:rPr>
        <w:t>tract of service, the appellan</w:t>
      </w:r>
      <w:r w:rsidR="00B5453B">
        <w:rPr>
          <w:rFonts w:ascii="Times New Roman" w:hAnsi="Times New Roman" w:cs="Times New Roman"/>
          <w:sz w:val="28"/>
          <w:szCs w:val="28"/>
        </w:rPr>
        <w:t>t was contributing 5% of his salary and the employer contributing 15% of his salary.  The respondent does not deny that the appellant is entitled to his provident fund.  The question whether the items in the report indeed existed before the appellant took over or whether the appellant officially received</w:t>
      </w:r>
      <w:r w:rsidR="001C62F4">
        <w:rPr>
          <w:rFonts w:ascii="Times New Roman" w:hAnsi="Times New Roman" w:cs="Times New Roman"/>
          <w:sz w:val="28"/>
          <w:szCs w:val="28"/>
        </w:rPr>
        <w:t xml:space="preserve"> certain</w:t>
      </w:r>
      <w:r w:rsidR="00B5453B">
        <w:rPr>
          <w:rFonts w:ascii="Times New Roman" w:hAnsi="Times New Roman" w:cs="Times New Roman"/>
          <w:sz w:val="28"/>
          <w:szCs w:val="28"/>
        </w:rPr>
        <w:t xml:space="preserve"> items during the course of his work which he did not include in the report, or any other questions raised by a handover report could only be answered by an audit of the stores during and before the appellant took office.  It is this audit that would inform the </w:t>
      </w:r>
      <w:proofErr w:type="spellStart"/>
      <w:r w:rsidR="00B5453B">
        <w:rPr>
          <w:rFonts w:ascii="Times New Roman" w:hAnsi="Times New Roman" w:cs="Times New Roman"/>
          <w:sz w:val="28"/>
          <w:szCs w:val="28"/>
        </w:rPr>
        <w:t>labour</w:t>
      </w:r>
      <w:proofErr w:type="spellEnd"/>
      <w:r w:rsidR="00B5453B">
        <w:rPr>
          <w:rFonts w:ascii="Times New Roman" w:hAnsi="Times New Roman" w:cs="Times New Roman"/>
          <w:sz w:val="28"/>
          <w:szCs w:val="28"/>
        </w:rPr>
        <w:t xml:space="preserve"> officer whether or not the appellant made a comprehensive handover report.</w:t>
      </w:r>
    </w:p>
    <w:p w:rsidR="00191508" w:rsidRDefault="00B5453B" w:rsidP="001003B8">
      <w:pPr>
        <w:jc w:val="both"/>
        <w:rPr>
          <w:rFonts w:ascii="Times New Roman" w:hAnsi="Times New Roman" w:cs="Times New Roman"/>
          <w:sz w:val="28"/>
          <w:szCs w:val="28"/>
        </w:rPr>
      </w:pPr>
      <w:r>
        <w:rPr>
          <w:rFonts w:ascii="Times New Roman" w:hAnsi="Times New Roman" w:cs="Times New Roman"/>
          <w:sz w:val="28"/>
          <w:szCs w:val="28"/>
        </w:rPr>
        <w:t>Terminal benefits, especially whatever an employee</w:t>
      </w:r>
      <w:r w:rsidR="00470C98">
        <w:rPr>
          <w:rFonts w:ascii="Times New Roman" w:hAnsi="Times New Roman" w:cs="Times New Roman"/>
          <w:sz w:val="28"/>
          <w:szCs w:val="28"/>
        </w:rPr>
        <w:t xml:space="preserve"> </w:t>
      </w:r>
      <w:r w:rsidR="002B153D">
        <w:rPr>
          <w:rFonts w:ascii="Times New Roman" w:hAnsi="Times New Roman" w:cs="Times New Roman"/>
          <w:sz w:val="28"/>
          <w:szCs w:val="28"/>
        </w:rPr>
        <w:t>contributes</w:t>
      </w:r>
      <w:r w:rsidR="001C62F4">
        <w:rPr>
          <w:rFonts w:ascii="Times New Roman" w:hAnsi="Times New Roman" w:cs="Times New Roman"/>
          <w:sz w:val="28"/>
          <w:szCs w:val="28"/>
        </w:rPr>
        <w:t xml:space="preserve"> as</w:t>
      </w:r>
      <w:r w:rsidR="002B153D">
        <w:rPr>
          <w:rFonts w:ascii="Times New Roman" w:hAnsi="Times New Roman" w:cs="Times New Roman"/>
          <w:sz w:val="28"/>
          <w:szCs w:val="28"/>
        </w:rPr>
        <w:t xml:space="preserve"> pa</w:t>
      </w:r>
      <w:r w:rsidR="001C62F4">
        <w:rPr>
          <w:rFonts w:ascii="Times New Roman" w:hAnsi="Times New Roman" w:cs="Times New Roman"/>
          <w:sz w:val="28"/>
          <w:szCs w:val="28"/>
        </w:rPr>
        <w:t>r</w:t>
      </w:r>
      <w:r w:rsidR="002B153D">
        <w:rPr>
          <w:rFonts w:ascii="Times New Roman" w:hAnsi="Times New Roman" w:cs="Times New Roman"/>
          <w:sz w:val="28"/>
          <w:szCs w:val="28"/>
        </w:rPr>
        <w:t>t of his</w:t>
      </w:r>
      <w:r w:rsidR="001C62F4">
        <w:rPr>
          <w:rFonts w:ascii="Times New Roman" w:hAnsi="Times New Roman" w:cs="Times New Roman"/>
          <w:sz w:val="28"/>
          <w:szCs w:val="28"/>
        </w:rPr>
        <w:t xml:space="preserve"> or her</w:t>
      </w:r>
      <w:r w:rsidR="002B153D">
        <w:rPr>
          <w:rFonts w:ascii="Times New Roman" w:hAnsi="Times New Roman" w:cs="Times New Roman"/>
          <w:sz w:val="28"/>
          <w:szCs w:val="28"/>
        </w:rPr>
        <w:t xml:space="preserve"> salary, should not be denied to such employee on the basis that the employer is not satisfied with a handover report </w:t>
      </w:r>
      <w:r w:rsidR="001C62F4">
        <w:rPr>
          <w:rFonts w:ascii="Times New Roman" w:hAnsi="Times New Roman" w:cs="Times New Roman"/>
          <w:sz w:val="28"/>
          <w:szCs w:val="28"/>
        </w:rPr>
        <w:t>made by</w:t>
      </w:r>
      <w:r w:rsidR="002B153D">
        <w:rPr>
          <w:rFonts w:ascii="Times New Roman" w:hAnsi="Times New Roman" w:cs="Times New Roman"/>
          <w:sz w:val="28"/>
          <w:szCs w:val="28"/>
        </w:rPr>
        <w:t xml:space="preserve"> such employee in the absence of an audit to implicate such employee.</w:t>
      </w:r>
      <w:r w:rsidR="006526F7">
        <w:rPr>
          <w:rFonts w:ascii="Times New Roman" w:hAnsi="Times New Roman" w:cs="Times New Roman"/>
          <w:sz w:val="28"/>
          <w:szCs w:val="28"/>
        </w:rPr>
        <w:t xml:space="preserve"> </w:t>
      </w:r>
      <w:r w:rsidR="00191508">
        <w:rPr>
          <w:rFonts w:ascii="Times New Roman" w:hAnsi="Times New Roman" w:cs="Times New Roman"/>
          <w:sz w:val="28"/>
          <w:szCs w:val="28"/>
        </w:rPr>
        <w:t xml:space="preserve">We form the opinion that terminal benefits are an entitlement to an employee who has completed his contractual obligations and they can only be denied to the employee by way of a counter claim </w:t>
      </w:r>
      <w:r w:rsidR="001C62F4">
        <w:rPr>
          <w:rFonts w:ascii="Times New Roman" w:hAnsi="Times New Roman" w:cs="Times New Roman"/>
          <w:sz w:val="28"/>
          <w:szCs w:val="28"/>
        </w:rPr>
        <w:t>raised by the employee or by way</w:t>
      </w:r>
      <w:r w:rsidR="00191508">
        <w:rPr>
          <w:rFonts w:ascii="Times New Roman" w:hAnsi="Times New Roman" w:cs="Times New Roman"/>
          <w:sz w:val="28"/>
          <w:szCs w:val="28"/>
        </w:rPr>
        <w:t xml:space="preserve"> of an express provision in the contract of service detailing circumstances under which the terminal benefits could be withheld.  None of these was evident in the instant case and consequently it is our finding that t</w:t>
      </w:r>
      <w:r w:rsidR="001C62F4">
        <w:rPr>
          <w:rFonts w:ascii="Times New Roman" w:hAnsi="Times New Roman" w:cs="Times New Roman"/>
          <w:sz w:val="28"/>
          <w:szCs w:val="28"/>
        </w:rPr>
        <w:t xml:space="preserve">he </w:t>
      </w:r>
      <w:proofErr w:type="spellStart"/>
      <w:r w:rsidR="001C62F4">
        <w:rPr>
          <w:rFonts w:ascii="Times New Roman" w:hAnsi="Times New Roman" w:cs="Times New Roman"/>
          <w:sz w:val="28"/>
          <w:szCs w:val="28"/>
        </w:rPr>
        <w:t>labour</w:t>
      </w:r>
      <w:proofErr w:type="spellEnd"/>
      <w:r w:rsidR="001C62F4">
        <w:rPr>
          <w:rFonts w:ascii="Times New Roman" w:hAnsi="Times New Roman" w:cs="Times New Roman"/>
          <w:sz w:val="28"/>
          <w:szCs w:val="28"/>
        </w:rPr>
        <w:t xml:space="preserve"> officer did not evaluat</w:t>
      </w:r>
      <w:r w:rsidR="00191508">
        <w:rPr>
          <w:rFonts w:ascii="Times New Roman" w:hAnsi="Times New Roman" w:cs="Times New Roman"/>
          <w:sz w:val="28"/>
          <w:szCs w:val="28"/>
        </w:rPr>
        <w:t>e evidence properly leading to a conclusion that the applicant could not get his benefits unless he presented a comprehensiv</w:t>
      </w:r>
      <w:r w:rsidR="001C62F4">
        <w:rPr>
          <w:rFonts w:ascii="Times New Roman" w:hAnsi="Times New Roman" w:cs="Times New Roman"/>
          <w:sz w:val="28"/>
          <w:szCs w:val="28"/>
        </w:rPr>
        <w:t>e handover report even when there</w:t>
      </w:r>
      <w:r w:rsidR="00191508">
        <w:rPr>
          <w:rFonts w:ascii="Times New Roman" w:hAnsi="Times New Roman" w:cs="Times New Roman"/>
          <w:sz w:val="28"/>
          <w:szCs w:val="28"/>
        </w:rPr>
        <w:t xml:space="preserve"> was such a report on the record.  The </w:t>
      </w:r>
      <w:r w:rsidR="00F72D37">
        <w:rPr>
          <w:rFonts w:ascii="Times New Roman" w:hAnsi="Times New Roman" w:cs="Times New Roman"/>
          <w:sz w:val="28"/>
          <w:szCs w:val="28"/>
        </w:rPr>
        <w:t>second ground</w:t>
      </w:r>
      <w:r w:rsidR="00191508">
        <w:rPr>
          <w:rFonts w:ascii="Times New Roman" w:hAnsi="Times New Roman" w:cs="Times New Roman"/>
          <w:sz w:val="28"/>
          <w:szCs w:val="28"/>
        </w:rPr>
        <w:t xml:space="preserve"> </w:t>
      </w:r>
      <w:r w:rsidR="00F72D37">
        <w:rPr>
          <w:rFonts w:ascii="Times New Roman" w:hAnsi="Times New Roman" w:cs="Times New Roman"/>
          <w:sz w:val="28"/>
          <w:szCs w:val="28"/>
        </w:rPr>
        <w:t xml:space="preserve">therefore </w:t>
      </w:r>
      <w:r w:rsidR="00191508">
        <w:rPr>
          <w:rFonts w:ascii="Times New Roman" w:hAnsi="Times New Roman" w:cs="Times New Roman"/>
          <w:sz w:val="28"/>
          <w:szCs w:val="28"/>
        </w:rPr>
        <w:t>succeeds.</w:t>
      </w:r>
      <w:r w:rsidR="006526F7">
        <w:rPr>
          <w:rFonts w:ascii="Times New Roman" w:hAnsi="Times New Roman" w:cs="Times New Roman"/>
          <w:sz w:val="28"/>
          <w:szCs w:val="28"/>
        </w:rPr>
        <w:t xml:space="preserve"> </w:t>
      </w:r>
      <w:r w:rsidR="00191508">
        <w:rPr>
          <w:rFonts w:ascii="Times New Roman" w:hAnsi="Times New Roman" w:cs="Times New Roman"/>
          <w:sz w:val="28"/>
          <w:szCs w:val="28"/>
        </w:rPr>
        <w:t>However</w:t>
      </w:r>
      <w:r w:rsidR="00F72D37">
        <w:rPr>
          <w:rFonts w:ascii="Times New Roman" w:hAnsi="Times New Roman" w:cs="Times New Roman"/>
          <w:sz w:val="28"/>
          <w:szCs w:val="28"/>
        </w:rPr>
        <w:t>,</w:t>
      </w:r>
      <w:r w:rsidR="00191508">
        <w:rPr>
          <w:rFonts w:ascii="Times New Roman" w:hAnsi="Times New Roman" w:cs="Times New Roman"/>
          <w:sz w:val="28"/>
          <w:szCs w:val="28"/>
        </w:rPr>
        <w:t xml:space="preserve"> we do not accept the contention of coun</w:t>
      </w:r>
      <w:r w:rsidR="00E13E7D">
        <w:rPr>
          <w:rFonts w:ascii="Times New Roman" w:hAnsi="Times New Roman" w:cs="Times New Roman"/>
          <w:sz w:val="28"/>
          <w:szCs w:val="28"/>
        </w:rPr>
        <w:t>sel for the applicant that he be</w:t>
      </w:r>
      <w:r w:rsidR="00191508">
        <w:rPr>
          <w:rFonts w:ascii="Times New Roman" w:hAnsi="Times New Roman" w:cs="Times New Roman"/>
          <w:sz w:val="28"/>
          <w:szCs w:val="28"/>
        </w:rPr>
        <w:t xml:space="preserve"> awarded </w:t>
      </w:r>
      <w:r w:rsidR="00191508">
        <w:rPr>
          <w:rFonts w:ascii="Times New Roman" w:hAnsi="Times New Roman" w:cs="Times New Roman"/>
          <w:sz w:val="28"/>
          <w:szCs w:val="28"/>
        </w:rPr>
        <w:lastRenderedPageBreak/>
        <w:t xml:space="preserve">general damages.  </w:t>
      </w:r>
      <w:r w:rsidR="00E13E7D">
        <w:rPr>
          <w:rFonts w:ascii="Times New Roman" w:hAnsi="Times New Roman" w:cs="Times New Roman"/>
          <w:sz w:val="28"/>
          <w:szCs w:val="28"/>
        </w:rPr>
        <w:t>The claim</w:t>
      </w:r>
      <w:r w:rsidR="001C62F4">
        <w:rPr>
          <w:rFonts w:ascii="Times New Roman" w:hAnsi="Times New Roman" w:cs="Times New Roman"/>
          <w:sz w:val="28"/>
          <w:szCs w:val="28"/>
        </w:rPr>
        <w:t xml:space="preserve"> of general damages wa</w:t>
      </w:r>
      <w:r w:rsidR="00191508">
        <w:rPr>
          <w:rFonts w:ascii="Times New Roman" w:hAnsi="Times New Roman" w:cs="Times New Roman"/>
          <w:sz w:val="28"/>
          <w:szCs w:val="28"/>
        </w:rPr>
        <w:t xml:space="preserve">s </w:t>
      </w:r>
      <w:r w:rsidR="0078402E">
        <w:rPr>
          <w:rFonts w:ascii="Times New Roman" w:hAnsi="Times New Roman" w:cs="Times New Roman"/>
          <w:sz w:val="28"/>
          <w:szCs w:val="28"/>
        </w:rPr>
        <w:t xml:space="preserve">never pleaded.  The claim before the </w:t>
      </w:r>
      <w:proofErr w:type="spellStart"/>
      <w:r w:rsidR="0078402E">
        <w:rPr>
          <w:rFonts w:ascii="Times New Roman" w:hAnsi="Times New Roman" w:cs="Times New Roman"/>
          <w:sz w:val="28"/>
          <w:szCs w:val="28"/>
        </w:rPr>
        <w:t>labour</w:t>
      </w:r>
      <w:proofErr w:type="spellEnd"/>
      <w:r w:rsidR="0078402E">
        <w:rPr>
          <w:rFonts w:ascii="Times New Roman" w:hAnsi="Times New Roman" w:cs="Times New Roman"/>
          <w:sz w:val="28"/>
          <w:szCs w:val="28"/>
        </w:rPr>
        <w:t xml:space="preserve"> officer was not such a one that called for remedies of compensation under </w:t>
      </w:r>
      <w:r w:rsidR="0078402E">
        <w:rPr>
          <w:rFonts w:ascii="Times New Roman" w:hAnsi="Times New Roman" w:cs="Times New Roman"/>
          <w:b/>
          <w:sz w:val="28"/>
          <w:szCs w:val="28"/>
        </w:rPr>
        <w:t>Section 78 of the Employment Act</w:t>
      </w:r>
      <w:r w:rsidR="0078402E">
        <w:rPr>
          <w:rFonts w:ascii="Times New Roman" w:hAnsi="Times New Roman" w:cs="Times New Roman"/>
          <w:sz w:val="28"/>
          <w:szCs w:val="28"/>
        </w:rPr>
        <w:t xml:space="preserve"> and as</w:t>
      </w:r>
      <w:r w:rsidR="001C62F4">
        <w:rPr>
          <w:rFonts w:ascii="Times New Roman" w:hAnsi="Times New Roman" w:cs="Times New Roman"/>
          <w:sz w:val="28"/>
          <w:szCs w:val="28"/>
        </w:rPr>
        <w:t xml:space="preserve"> such cannot call for damages on</w:t>
      </w:r>
      <w:r w:rsidR="0078402E">
        <w:rPr>
          <w:rFonts w:ascii="Times New Roman" w:hAnsi="Times New Roman" w:cs="Times New Roman"/>
          <w:sz w:val="28"/>
          <w:szCs w:val="28"/>
        </w:rPr>
        <w:t xml:space="preserve"> Appeal.  We therefore decline to award damages.</w:t>
      </w:r>
    </w:p>
    <w:p w:rsidR="0078402E" w:rsidRDefault="0049418B" w:rsidP="001003B8">
      <w:pPr>
        <w:jc w:val="both"/>
        <w:rPr>
          <w:rFonts w:ascii="Times New Roman" w:hAnsi="Times New Roman" w:cs="Times New Roman"/>
          <w:sz w:val="28"/>
          <w:szCs w:val="28"/>
        </w:rPr>
      </w:pPr>
      <w:r>
        <w:rPr>
          <w:rFonts w:ascii="Times New Roman" w:hAnsi="Times New Roman" w:cs="Times New Roman"/>
          <w:sz w:val="28"/>
          <w:szCs w:val="28"/>
        </w:rPr>
        <w:t>We note</w:t>
      </w:r>
      <w:r w:rsidR="0078402E">
        <w:rPr>
          <w:rFonts w:ascii="Times New Roman" w:hAnsi="Times New Roman" w:cs="Times New Roman"/>
          <w:sz w:val="28"/>
          <w:szCs w:val="28"/>
        </w:rPr>
        <w:t xml:space="preserve"> that the respondent should have paid</w:t>
      </w:r>
      <w:r w:rsidR="00384B8D">
        <w:rPr>
          <w:rFonts w:ascii="Times New Roman" w:hAnsi="Times New Roman" w:cs="Times New Roman"/>
          <w:sz w:val="28"/>
          <w:szCs w:val="28"/>
        </w:rPr>
        <w:t xml:space="preserve"> </w:t>
      </w:r>
      <w:r w:rsidR="006526F7">
        <w:rPr>
          <w:rFonts w:ascii="Times New Roman" w:hAnsi="Times New Roman" w:cs="Times New Roman"/>
          <w:sz w:val="28"/>
          <w:szCs w:val="28"/>
        </w:rPr>
        <w:t xml:space="preserve">the </w:t>
      </w:r>
      <w:r w:rsidR="00384B8D">
        <w:rPr>
          <w:rFonts w:ascii="Times New Roman" w:hAnsi="Times New Roman" w:cs="Times New Roman"/>
          <w:sz w:val="28"/>
          <w:szCs w:val="28"/>
        </w:rPr>
        <w:t xml:space="preserve">appellant his terminal benefits at the time he </w:t>
      </w:r>
      <w:r>
        <w:rPr>
          <w:rFonts w:ascii="Times New Roman" w:hAnsi="Times New Roman" w:cs="Times New Roman"/>
          <w:sz w:val="28"/>
          <w:szCs w:val="28"/>
        </w:rPr>
        <w:t>exited the</w:t>
      </w:r>
      <w:r w:rsidR="00384B8D">
        <w:rPr>
          <w:rFonts w:ascii="Times New Roman" w:hAnsi="Times New Roman" w:cs="Times New Roman"/>
          <w:sz w:val="28"/>
          <w:szCs w:val="28"/>
        </w:rPr>
        <w:t xml:space="preserve"> </w:t>
      </w:r>
      <w:r>
        <w:rPr>
          <w:rFonts w:ascii="Times New Roman" w:hAnsi="Times New Roman" w:cs="Times New Roman"/>
          <w:sz w:val="28"/>
          <w:szCs w:val="28"/>
        </w:rPr>
        <w:t>respondent’s employment by</w:t>
      </w:r>
      <w:r w:rsidR="00384B8D">
        <w:rPr>
          <w:rFonts w:ascii="Times New Roman" w:hAnsi="Times New Roman" w:cs="Times New Roman"/>
          <w:sz w:val="28"/>
          <w:szCs w:val="28"/>
        </w:rPr>
        <w:t xml:space="preserve"> resignation which was unfairly denied.  </w:t>
      </w:r>
      <w:r>
        <w:rPr>
          <w:rFonts w:ascii="Times New Roman" w:hAnsi="Times New Roman" w:cs="Times New Roman"/>
          <w:sz w:val="28"/>
          <w:szCs w:val="28"/>
        </w:rPr>
        <w:t>According</w:t>
      </w:r>
      <w:r w:rsidR="00ED5D1B">
        <w:rPr>
          <w:rFonts w:ascii="Times New Roman" w:hAnsi="Times New Roman" w:cs="Times New Roman"/>
          <w:sz w:val="28"/>
          <w:szCs w:val="28"/>
        </w:rPr>
        <w:t>ly, we find it fair enough to order that</w:t>
      </w:r>
      <w:r w:rsidR="006526F7">
        <w:rPr>
          <w:rFonts w:ascii="Times New Roman" w:hAnsi="Times New Roman" w:cs="Times New Roman"/>
          <w:sz w:val="28"/>
          <w:szCs w:val="28"/>
        </w:rPr>
        <w:t xml:space="preserve"> such terminal benefits carry interest</w:t>
      </w:r>
      <w:r w:rsidR="00ED5D1B">
        <w:rPr>
          <w:rFonts w:ascii="Times New Roman" w:hAnsi="Times New Roman" w:cs="Times New Roman"/>
          <w:sz w:val="28"/>
          <w:szCs w:val="28"/>
        </w:rPr>
        <w:t xml:space="preserve"> of 12% per year from the date of his resignation until payment in </w:t>
      </w:r>
      <w:r w:rsidR="006526F7">
        <w:rPr>
          <w:rFonts w:ascii="Times New Roman" w:hAnsi="Times New Roman" w:cs="Times New Roman"/>
          <w:sz w:val="28"/>
          <w:szCs w:val="28"/>
        </w:rPr>
        <w:t>full.  The salary arrears</w:t>
      </w:r>
      <w:r w:rsidR="00ED5D1B">
        <w:rPr>
          <w:rFonts w:ascii="Times New Roman" w:hAnsi="Times New Roman" w:cs="Times New Roman"/>
          <w:sz w:val="28"/>
          <w:szCs w:val="28"/>
        </w:rPr>
        <w:t xml:space="preserve"> of January March inclusive shall earn the same interest rates.</w:t>
      </w:r>
    </w:p>
    <w:p w:rsidR="00ED5D1B" w:rsidRDefault="00ED5D1B" w:rsidP="001003B8">
      <w:pPr>
        <w:jc w:val="both"/>
        <w:rPr>
          <w:rFonts w:ascii="Times New Roman" w:hAnsi="Times New Roman" w:cs="Times New Roman"/>
          <w:sz w:val="28"/>
          <w:szCs w:val="28"/>
        </w:rPr>
      </w:pPr>
      <w:r>
        <w:rPr>
          <w:rFonts w:ascii="Times New Roman" w:hAnsi="Times New Roman" w:cs="Times New Roman"/>
          <w:sz w:val="28"/>
          <w:szCs w:val="28"/>
        </w:rPr>
        <w:t xml:space="preserve">In conclusion the appeal succeeds with orders that  </w:t>
      </w:r>
    </w:p>
    <w:p w:rsidR="00ED5D1B" w:rsidRDefault="00ED5D1B" w:rsidP="00ED5D1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The appellant be paid his terminal bene</w:t>
      </w:r>
      <w:r w:rsidR="006526F7">
        <w:rPr>
          <w:rFonts w:ascii="Times New Roman" w:hAnsi="Times New Roman" w:cs="Times New Roman"/>
          <w:sz w:val="28"/>
          <w:szCs w:val="28"/>
        </w:rPr>
        <w:t>fits with an interest rate of 12</w:t>
      </w:r>
      <w:r>
        <w:rPr>
          <w:rFonts w:ascii="Times New Roman" w:hAnsi="Times New Roman" w:cs="Times New Roman"/>
          <w:sz w:val="28"/>
          <w:szCs w:val="28"/>
        </w:rPr>
        <w:t xml:space="preserve">% per </w:t>
      </w:r>
      <w:r w:rsidR="006526F7">
        <w:rPr>
          <w:rFonts w:ascii="Times New Roman" w:hAnsi="Times New Roman" w:cs="Times New Roman"/>
          <w:sz w:val="28"/>
          <w:szCs w:val="28"/>
        </w:rPr>
        <w:t>year from the date of the resignation</w:t>
      </w:r>
      <w:r>
        <w:rPr>
          <w:rFonts w:ascii="Times New Roman" w:hAnsi="Times New Roman" w:cs="Times New Roman"/>
          <w:sz w:val="28"/>
          <w:szCs w:val="28"/>
        </w:rPr>
        <w:t xml:space="preserve"> till payment in full.</w:t>
      </w:r>
    </w:p>
    <w:p w:rsidR="00700278" w:rsidRDefault="00700278" w:rsidP="00700278">
      <w:pPr>
        <w:pStyle w:val="ListParagraph"/>
        <w:jc w:val="both"/>
        <w:rPr>
          <w:rFonts w:ascii="Times New Roman" w:hAnsi="Times New Roman" w:cs="Times New Roman"/>
          <w:sz w:val="28"/>
          <w:szCs w:val="28"/>
        </w:rPr>
      </w:pPr>
    </w:p>
    <w:p w:rsidR="00700278" w:rsidRDefault="00700278" w:rsidP="00700278">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The appellant be paid salary arrears of January-March inclusive at 12% per year from the date of his resignation till payment in full.</w:t>
      </w:r>
    </w:p>
    <w:p w:rsidR="00700278" w:rsidRPr="00700278" w:rsidRDefault="00700278" w:rsidP="00700278">
      <w:pPr>
        <w:pStyle w:val="ListParagraph"/>
        <w:rPr>
          <w:rFonts w:ascii="Times New Roman" w:hAnsi="Times New Roman" w:cs="Times New Roman"/>
          <w:sz w:val="28"/>
          <w:szCs w:val="28"/>
        </w:rPr>
      </w:pPr>
    </w:p>
    <w:p w:rsidR="00700278" w:rsidRPr="00ED5D1B" w:rsidRDefault="00700278" w:rsidP="00ED5D1B">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No order as to costs is made.</w:t>
      </w:r>
    </w:p>
    <w:p w:rsidR="00ED5D1B" w:rsidRPr="005439ED" w:rsidRDefault="00700278" w:rsidP="006526F7">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Delivered &amp; Signed:</w:t>
      </w:r>
    </w:p>
    <w:p w:rsidR="00ED5D1B" w:rsidRPr="005439ED" w:rsidRDefault="00ED5D1B" w:rsidP="00ED5D1B">
      <w:pPr>
        <w:pStyle w:val="ListParagraph"/>
        <w:numPr>
          <w:ilvl w:val="0"/>
          <w:numId w:val="7"/>
        </w:numPr>
        <w:spacing w:after="0" w:line="360" w:lineRule="auto"/>
        <w:jc w:val="both"/>
        <w:rPr>
          <w:rFonts w:ascii="Times New Roman" w:hAnsi="Times New Roman" w:cs="Times New Roman"/>
          <w:sz w:val="28"/>
          <w:szCs w:val="28"/>
        </w:rPr>
      </w:pPr>
      <w:r w:rsidRPr="005439ED">
        <w:rPr>
          <w:rFonts w:ascii="Times New Roman" w:hAnsi="Times New Roman" w:cs="Times New Roman"/>
          <w:sz w:val="28"/>
          <w:szCs w:val="28"/>
        </w:rPr>
        <w:t xml:space="preserve">Hon. Chief Judge </w:t>
      </w:r>
      <w:proofErr w:type="spellStart"/>
      <w:r w:rsidRPr="005439ED">
        <w:rPr>
          <w:rFonts w:ascii="Times New Roman" w:hAnsi="Times New Roman" w:cs="Times New Roman"/>
          <w:sz w:val="28"/>
          <w:szCs w:val="28"/>
        </w:rPr>
        <w:t>Ruhinda</w:t>
      </w:r>
      <w:proofErr w:type="spellEnd"/>
      <w:r w:rsidRPr="005439ED">
        <w:rPr>
          <w:rFonts w:ascii="Times New Roman" w:hAnsi="Times New Roman" w:cs="Times New Roman"/>
          <w:sz w:val="28"/>
          <w:szCs w:val="28"/>
        </w:rPr>
        <w:t xml:space="preserve"> </w:t>
      </w:r>
      <w:proofErr w:type="spellStart"/>
      <w:r w:rsidRPr="005439ED">
        <w:rPr>
          <w:rFonts w:ascii="Times New Roman" w:hAnsi="Times New Roman" w:cs="Times New Roman"/>
          <w:sz w:val="28"/>
          <w:szCs w:val="28"/>
        </w:rPr>
        <w:t>Asaph</w:t>
      </w:r>
      <w:proofErr w:type="spellEnd"/>
      <w:r w:rsidRPr="005439ED">
        <w:rPr>
          <w:rFonts w:ascii="Times New Roman" w:hAnsi="Times New Roman" w:cs="Times New Roman"/>
          <w:sz w:val="28"/>
          <w:szCs w:val="28"/>
        </w:rPr>
        <w:t xml:space="preserve"> </w:t>
      </w:r>
      <w:proofErr w:type="spellStart"/>
      <w:r w:rsidRPr="005439ED">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ED5D1B" w:rsidRPr="005439ED" w:rsidRDefault="00ED5D1B" w:rsidP="00ED5D1B">
      <w:pPr>
        <w:pStyle w:val="ListParagraph"/>
        <w:numPr>
          <w:ilvl w:val="0"/>
          <w:numId w:val="7"/>
        </w:numPr>
        <w:spacing w:after="0" w:line="360" w:lineRule="auto"/>
        <w:jc w:val="both"/>
        <w:rPr>
          <w:rFonts w:ascii="Times New Roman" w:hAnsi="Times New Roman" w:cs="Times New Roman"/>
          <w:sz w:val="28"/>
          <w:szCs w:val="28"/>
        </w:rPr>
      </w:pPr>
      <w:r w:rsidRPr="005439ED">
        <w:rPr>
          <w:rFonts w:ascii="Times New Roman" w:hAnsi="Times New Roman" w:cs="Times New Roman"/>
          <w:sz w:val="28"/>
          <w:szCs w:val="28"/>
        </w:rPr>
        <w:t xml:space="preserve">Hon. Lady Justice Linda Lillian </w:t>
      </w:r>
      <w:proofErr w:type="spellStart"/>
      <w:r w:rsidRPr="005439ED">
        <w:rPr>
          <w:rFonts w:ascii="Times New Roman" w:hAnsi="Times New Roman" w:cs="Times New Roman"/>
          <w:sz w:val="28"/>
          <w:szCs w:val="28"/>
        </w:rPr>
        <w:t>Tumusiime</w:t>
      </w:r>
      <w:proofErr w:type="spellEnd"/>
      <w:r w:rsidRPr="005439ED">
        <w:rPr>
          <w:rFonts w:ascii="Times New Roman" w:hAnsi="Times New Roman" w:cs="Times New Roman"/>
          <w:sz w:val="28"/>
          <w:szCs w:val="28"/>
        </w:rPr>
        <w:t xml:space="preserve"> </w:t>
      </w:r>
      <w:proofErr w:type="spellStart"/>
      <w:r w:rsidRPr="005439ED">
        <w:rPr>
          <w:rFonts w:ascii="Times New Roman" w:hAnsi="Times New Roman" w:cs="Times New Roman"/>
          <w:sz w:val="28"/>
          <w:szCs w:val="28"/>
        </w:rPr>
        <w:t>Mugisha</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ED5D1B" w:rsidRPr="005439ED" w:rsidRDefault="00ED5D1B" w:rsidP="006526F7">
      <w:pPr>
        <w:spacing w:after="0" w:line="360" w:lineRule="auto"/>
        <w:jc w:val="both"/>
        <w:rPr>
          <w:rFonts w:ascii="Times New Roman" w:hAnsi="Times New Roman" w:cs="Times New Roman"/>
          <w:b/>
          <w:sz w:val="28"/>
          <w:szCs w:val="28"/>
          <w:u w:val="single"/>
        </w:rPr>
      </w:pPr>
      <w:r w:rsidRPr="005439ED">
        <w:rPr>
          <w:rFonts w:ascii="Times New Roman" w:hAnsi="Times New Roman" w:cs="Times New Roman"/>
          <w:b/>
          <w:sz w:val="28"/>
          <w:szCs w:val="28"/>
          <w:u w:val="single"/>
        </w:rPr>
        <w:t>PANELISTS</w:t>
      </w:r>
    </w:p>
    <w:p w:rsidR="00ED5D1B" w:rsidRPr="005439ED" w:rsidRDefault="00ED5D1B" w:rsidP="00ED5D1B">
      <w:pPr>
        <w:pStyle w:val="ListParagraph"/>
        <w:numPr>
          <w:ilvl w:val="0"/>
          <w:numId w:val="5"/>
        </w:numPr>
        <w:rPr>
          <w:rFonts w:ascii="Times New Roman" w:hAnsi="Times New Roman" w:cs="Times New Roman"/>
          <w:sz w:val="28"/>
          <w:szCs w:val="28"/>
        </w:rPr>
      </w:pPr>
      <w:r w:rsidRPr="005439ED">
        <w:rPr>
          <w:rFonts w:ascii="Times New Roman" w:hAnsi="Times New Roman" w:cs="Times New Roman"/>
          <w:sz w:val="28"/>
          <w:szCs w:val="28"/>
        </w:rPr>
        <w:t xml:space="preserve">Ms. </w:t>
      </w:r>
      <w:proofErr w:type="spellStart"/>
      <w:r w:rsidRPr="005439ED">
        <w:rPr>
          <w:rFonts w:ascii="Times New Roman" w:hAnsi="Times New Roman" w:cs="Times New Roman"/>
          <w:sz w:val="28"/>
          <w:szCs w:val="28"/>
        </w:rPr>
        <w:t>Adrine</w:t>
      </w:r>
      <w:proofErr w:type="spellEnd"/>
      <w:r w:rsidRPr="005439ED">
        <w:rPr>
          <w:rFonts w:ascii="Times New Roman" w:hAnsi="Times New Roman" w:cs="Times New Roman"/>
          <w:sz w:val="28"/>
          <w:szCs w:val="28"/>
        </w:rPr>
        <w:t xml:space="preserve"> </w:t>
      </w:r>
      <w:proofErr w:type="spellStart"/>
      <w:r w:rsidRPr="005439ED">
        <w:rPr>
          <w:rFonts w:ascii="Times New Roman" w:hAnsi="Times New Roman" w:cs="Times New Roman"/>
          <w:sz w:val="28"/>
          <w:szCs w:val="28"/>
        </w:rPr>
        <w:t>Namara</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ED5D1B" w:rsidRPr="005439ED" w:rsidRDefault="00ED5D1B" w:rsidP="00ED5D1B">
      <w:pPr>
        <w:pStyle w:val="ListParagraph"/>
        <w:numPr>
          <w:ilvl w:val="0"/>
          <w:numId w:val="5"/>
        </w:numPr>
        <w:rPr>
          <w:rFonts w:ascii="Times New Roman" w:hAnsi="Times New Roman" w:cs="Times New Roman"/>
          <w:sz w:val="28"/>
          <w:szCs w:val="28"/>
        </w:rPr>
      </w:pPr>
      <w:r w:rsidRPr="005439ED">
        <w:rPr>
          <w:rFonts w:ascii="Times New Roman" w:hAnsi="Times New Roman" w:cs="Times New Roman"/>
          <w:sz w:val="28"/>
          <w:szCs w:val="28"/>
        </w:rPr>
        <w:t xml:space="preserve">Ms. Suzan </w:t>
      </w:r>
      <w:proofErr w:type="spellStart"/>
      <w:r w:rsidRPr="005439ED">
        <w:rPr>
          <w:rFonts w:ascii="Times New Roman" w:hAnsi="Times New Roman" w:cs="Times New Roman"/>
          <w:sz w:val="28"/>
          <w:szCs w:val="28"/>
        </w:rPr>
        <w:t>Nabirye</w:t>
      </w:r>
      <w:proofErr w:type="spellEnd"/>
      <w:r>
        <w:rPr>
          <w:rFonts w:ascii="Times New Roman" w:hAnsi="Times New Roman" w:cs="Times New Roman"/>
          <w:sz w:val="28"/>
          <w:szCs w:val="28"/>
        </w:rPr>
        <w:tab/>
      </w:r>
      <w:r>
        <w:rPr>
          <w:rFonts w:ascii="Times New Roman" w:hAnsi="Times New Roman" w:cs="Times New Roman"/>
          <w:sz w:val="28"/>
          <w:szCs w:val="28"/>
        </w:rPr>
        <w:tab/>
        <w:t>……………..</w:t>
      </w:r>
    </w:p>
    <w:p w:rsidR="00ED5D1B" w:rsidRPr="005439ED" w:rsidRDefault="00ED5D1B" w:rsidP="00ED5D1B">
      <w:pPr>
        <w:pStyle w:val="ListParagraph"/>
        <w:numPr>
          <w:ilvl w:val="0"/>
          <w:numId w:val="5"/>
        </w:numPr>
        <w:spacing w:after="0" w:line="360" w:lineRule="auto"/>
        <w:jc w:val="both"/>
        <w:rPr>
          <w:rFonts w:ascii="Times New Roman" w:hAnsi="Times New Roman" w:cs="Times New Roman"/>
          <w:sz w:val="28"/>
          <w:szCs w:val="28"/>
        </w:rPr>
      </w:pPr>
      <w:r w:rsidRPr="005439ED">
        <w:rPr>
          <w:rFonts w:ascii="Times New Roman" w:hAnsi="Times New Roman" w:cs="Times New Roman"/>
          <w:sz w:val="28"/>
          <w:szCs w:val="28"/>
        </w:rPr>
        <w:t xml:space="preserve">Mr. Michael </w:t>
      </w:r>
      <w:proofErr w:type="spellStart"/>
      <w:r w:rsidRPr="005439ED">
        <w:rPr>
          <w:rFonts w:ascii="Times New Roman" w:hAnsi="Times New Roman" w:cs="Times New Roman"/>
          <w:sz w:val="28"/>
          <w:szCs w:val="28"/>
        </w:rPr>
        <w:t>Matovu</w:t>
      </w:r>
      <w:proofErr w:type="spellEnd"/>
      <w:r w:rsidRPr="005439E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w:t>
      </w:r>
    </w:p>
    <w:p w:rsidR="00ED5D1B" w:rsidRDefault="00ED5D1B" w:rsidP="001003B8">
      <w:pPr>
        <w:jc w:val="both"/>
        <w:rPr>
          <w:rFonts w:ascii="Times New Roman" w:hAnsi="Times New Roman" w:cs="Times New Roman"/>
          <w:sz w:val="28"/>
          <w:szCs w:val="28"/>
        </w:rPr>
      </w:pPr>
    </w:p>
    <w:p w:rsidR="005439ED" w:rsidRPr="005439ED" w:rsidRDefault="00ED5D1B" w:rsidP="005D2343">
      <w:pPr>
        <w:jc w:val="both"/>
        <w:rPr>
          <w:rFonts w:ascii="Times New Roman" w:hAnsi="Times New Roman" w:cs="Times New Roman"/>
          <w:sz w:val="28"/>
          <w:szCs w:val="28"/>
        </w:rPr>
      </w:pPr>
      <w:r>
        <w:rPr>
          <w:rFonts w:ascii="Times New Roman" w:hAnsi="Times New Roman" w:cs="Times New Roman"/>
          <w:sz w:val="28"/>
          <w:szCs w:val="28"/>
        </w:rPr>
        <w:t>Dated:  28/2/2020</w:t>
      </w:r>
    </w:p>
    <w:sectPr w:rsidR="005439ED" w:rsidRPr="005439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887" w:rsidRDefault="00CE0887" w:rsidP="00562FD2">
      <w:pPr>
        <w:spacing w:after="0" w:line="240" w:lineRule="auto"/>
      </w:pPr>
      <w:r>
        <w:separator/>
      </w:r>
    </w:p>
  </w:endnote>
  <w:endnote w:type="continuationSeparator" w:id="0">
    <w:p w:rsidR="00CE0887" w:rsidRDefault="00CE0887" w:rsidP="0056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030869"/>
      <w:docPartObj>
        <w:docPartGallery w:val="Page Numbers (Bottom of Page)"/>
        <w:docPartUnique/>
      </w:docPartObj>
    </w:sdtPr>
    <w:sdtEndPr>
      <w:rPr>
        <w:color w:val="7F7F7F" w:themeColor="background1" w:themeShade="7F"/>
        <w:spacing w:val="60"/>
      </w:rPr>
    </w:sdtEndPr>
    <w:sdtContent>
      <w:p w:rsidR="00562FD2" w:rsidRDefault="00562F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4703" w:rsidRPr="00C24703">
          <w:rPr>
            <w:b/>
            <w:bCs/>
            <w:noProof/>
          </w:rPr>
          <w:t>7</w:t>
        </w:r>
        <w:r>
          <w:rPr>
            <w:b/>
            <w:bCs/>
            <w:noProof/>
          </w:rPr>
          <w:fldChar w:fldCharType="end"/>
        </w:r>
        <w:r>
          <w:rPr>
            <w:b/>
            <w:bCs/>
          </w:rPr>
          <w:t xml:space="preserve"> | </w:t>
        </w:r>
        <w:r>
          <w:rPr>
            <w:color w:val="7F7F7F" w:themeColor="background1" w:themeShade="7F"/>
            <w:spacing w:val="60"/>
          </w:rPr>
          <w:t>Page</w:t>
        </w:r>
      </w:p>
    </w:sdtContent>
  </w:sdt>
  <w:p w:rsidR="00562FD2" w:rsidRDefault="00562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887" w:rsidRDefault="00CE0887" w:rsidP="00562FD2">
      <w:pPr>
        <w:spacing w:after="0" w:line="240" w:lineRule="auto"/>
      </w:pPr>
      <w:r>
        <w:separator/>
      </w:r>
    </w:p>
  </w:footnote>
  <w:footnote w:type="continuationSeparator" w:id="0">
    <w:p w:rsidR="00CE0887" w:rsidRDefault="00CE0887" w:rsidP="00562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277"/>
    <w:multiLevelType w:val="hybridMultilevel"/>
    <w:tmpl w:val="7DBAED9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
    <w:nsid w:val="14443136"/>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53776D2"/>
    <w:multiLevelType w:val="hybridMultilevel"/>
    <w:tmpl w:val="D9ECE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E20BD"/>
    <w:multiLevelType w:val="hybridMultilevel"/>
    <w:tmpl w:val="7DBAED9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A5"/>
    <w:rsid w:val="0002313E"/>
    <w:rsid w:val="00067663"/>
    <w:rsid w:val="00094505"/>
    <w:rsid w:val="000C3177"/>
    <w:rsid w:val="001003B8"/>
    <w:rsid w:val="0010072C"/>
    <w:rsid w:val="00163AAE"/>
    <w:rsid w:val="00191508"/>
    <w:rsid w:val="001A39CE"/>
    <w:rsid w:val="001B78B5"/>
    <w:rsid w:val="001C62F4"/>
    <w:rsid w:val="00236429"/>
    <w:rsid w:val="00275286"/>
    <w:rsid w:val="002B153D"/>
    <w:rsid w:val="00343255"/>
    <w:rsid w:val="00367C55"/>
    <w:rsid w:val="00384B8D"/>
    <w:rsid w:val="00396FCE"/>
    <w:rsid w:val="003A7228"/>
    <w:rsid w:val="00451FE5"/>
    <w:rsid w:val="00470C98"/>
    <w:rsid w:val="00480AC6"/>
    <w:rsid w:val="0049418B"/>
    <w:rsid w:val="005439ED"/>
    <w:rsid w:val="005522C6"/>
    <w:rsid w:val="00562FD2"/>
    <w:rsid w:val="00590185"/>
    <w:rsid w:val="005D2343"/>
    <w:rsid w:val="00633739"/>
    <w:rsid w:val="006526F7"/>
    <w:rsid w:val="0066061C"/>
    <w:rsid w:val="00682D88"/>
    <w:rsid w:val="00685AAD"/>
    <w:rsid w:val="00700278"/>
    <w:rsid w:val="0078402E"/>
    <w:rsid w:val="007E6FB9"/>
    <w:rsid w:val="007F2DAC"/>
    <w:rsid w:val="007F4C81"/>
    <w:rsid w:val="00815EE4"/>
    <w:rsid w:val="00842182"/>
    <w:rsid w:val="00854B66"/>
    <w:rsid w:val="00863A3D"/>
    <w:rsid w:val="00934D02"/>
    <w:rsid w:val="009C4FE6"/>
    <w:rsid w:val="009F7556"/>
    <w:rsid w:val="00A94157"/>
    <w:rsid w:val="00B5453B"/>
    <w:rsid w:val="00B916E5"/>
    <w:rsid w:val="00BF3B7E"/>
    <w:rsid w:val="00C06D64"/>
    <w:rsid w:val="00C24703"/>
    <w:rsid w:val="00C61189"/>
    <w:rsid w:val="00C96013"/>
    <w:rsid w:val="00CA50F2"/>
    <w:rsid w:val="00CE0887"/>
    <w:rsid w:val="00CF0579"/>
    <w:rsid w:val="00CF74A5"/>
    <w:rsid w:val="00D32E24"/>
    <w:rsid w:val="00D34C52"/>
    <w:rsid w:val="00D74E0D"/>
    <w:rsid w:val="00DA772E"/>
    <w:rsid w:val="00DB7865"/>
    <w:rsid w:val="00DC1A7D"/>
    <w:rsid w:val="00DF439E"/>
    <w:rsid w:val="00E13E7D"/>
    <w:rsid w:val="00E63719"/>
    <w:rsid w:val="00EB4DDE"/>
    <w:rsid w:val="00ED5D1B"/>
    <w:rsid w:val="00EF5AE8"/>
    <w:rsid w:val="00F26511"/>
    <w:rsid w:val="00F72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D6B5E-06C7-4450-8121-FEAA0A62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4A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4A5"/>
    <w:pPr>
      <w:ind w:left="720"/>
      <w:contextualSpacing/>
    </w:pPr>
  </w:style>
  <w:style w:type="paragraph" w:styleId="Header">
    <w:name w:val="header"/>
    <w:basedOn w:val="Normal"/>
    <w:link w:val="HeaderChar"/>
    <w:uiPriority w:val="99"/>
    <w:unhideWhenUsed/>
    <w:rsid w:val="00562F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D2"/>
    <w:rPr>
      <w:rFonts w:eastAsiaTheme="minorEastAsia"/>
    </w:rPr>
  </w:style>
  <w:style w:type="paragraph" w:styleId="Footer">
    <w:name w:val="footer"/>
    <w:basedOn w:val="Normal"/>
    <w:link w:val="FooterChar"/>
    <w:uiPriority w:val="99"/>
    <w:unhideWhenUsed/>
    <w:rsid w:val="00562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D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4</cp:revision>
  <dcterms:created xsi:type="dcterms:W3CDTF">2020-03-09T09:54:00Z</dcterms:created>
  <dcterms:modified xsi:type="dcterms:W3CDTF">2020-03-12T08:12:00Z</dcterms:modified>
</cp:coreProperties>
</file>