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C" w:rsidRPr="00F451DC" w:rsidRDefault="00F451DC" w:rsidP="0031102A">
      <w:pPr>
        <w:spacing w:after="0" w:line="240" w:lineRule="auto"/>
        <w:jc w:val="center"/>
        <w:rPr>
          <w:b/>
          <w:sz w:val="28"/>
          <w:szCs w:val="28"/>
        </w:rPr>
      </w:pPr>
      <w:r w:rsidRPr="00F451DC">
        <w:rPr>
          <w:b/>
          <w:sz w:val="28"/>
          <w:szCs w:val="28"/>
        </w:rPr>
        <w:t>THE REPUBLIC OF UGANDA</w:t>
      </w:r>
    </w:p>
    <w:p w:rsidR="00F451DC" w:rsidRPr="00F451DC" w:rsidRDefault="00F451DC" w:rsidP="0031102A">
      <w:pPr>
        <w:spacing w:after="0" w:line="240" w:lineRule="auto"/>
        <w:jc w:val="center"/>
        <w:rPr>
          <w:b/>
          <w:sz w:val="28"/>
          <w:szCs w:val="28"/>
        </w:rPr>
      </w:pPr>
      <w:r w:rsidRPr="00F451DC">
        <w:rPr>
          <w:b/>
          <w:sz w:val="28"/>
          <w:szCs w:val="28"/>
        </w:rPr>
        <w:t>THE INDUSTRIAL COURT OF UGANDA HOLDEN AT KAMPALA</w:t>
      </w:r>
    </w:p>
    <w:p w:rsidR="00F451DC" w:rsidRPr="00F451DC" w:rsidRDefault="00F451DC" w:rsidP="0031102A">
      <w:pPr>
        <w:spacing w:after="0" w:line="240" w:lineRule="auto"/>
        <w:jc w:val="center"/>
        <w:rPr>
          <w:b/>
          <w:sz w:val="28"/>
          <w:szCs w:val="28"/>
        </w:rPr>
      </w:pPr>
      <w:r w:rsidRPr="00F451DC">
        <w:rPr>
          <w:b/>
          <w:sz w:val="28"/>
          <w:szCs w:val="28"/>
        </w:rPr>
        <w:t>LABOUR DISPUTE REFERENCE No. 128 OF 2015</w:t>
      </w:r>
    </w:p>
    <w:p w:rsidR="00F451DC" w:rsidRPr="00F451DC" w:rsidRDefault="00F451DC" w:rsidP="0031102A">
      <w:pPr>
        <w:spacing w:after="0" w:line="240" w:lineRule="auto"/>
        <w:jc w:val="center"/>
        <w:rPr>
          <w:b/>
          <w:i/>
          <w:sz w:val="28"/>
          <w:szCs w:val="28"/>
        </w:rPr>
      </w:pPr>
      <w:r w:rsidRPr="00F451DC">
        <w:rPr>
          <w:b/>
          <w:i/>
          <w:sz w:val="28"/>
          <w:szCs w:val="28"/>
        </w:rPr>
        <w:t>(Arising from Labour Dispute: No. 08.05 OF 2015)</w:t>
      </w:r>
    </w:p>
    <w:p w:rsidR="00F451DC" w:rsidRPr="00F451DC" w:rsidRDefault="00F451DC" w:rsidP="0031102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451DC" w:rsidRPr="00F451DC" w:rsidRDefault="00F451DC" w:rsidP="0031102A">
      <w:pPr>
        <w:spacing w:after="0" w:line="240" w:lineRule="auto"/>
        <w:jc w:val="center"/>
        <w:rPr>
          <w:sz w:val="28"/>
          <w:szCs w:val="28"/>
        </w:rPr>
      </w:pPr>
      <w:r w:rsidRPr="00F451DC">
        <w:rPr>
          <w:sz w:val="28"/>
          <w:szCs w:val="28"/>
        </w:rPr>
        <w:t>KIVIRI SAMUEL....................................................... CLAIMANT</w:t>
      </w:r>
    </w:p>
    <w:p w:rsidR="00F451DC" w:rsidRPr="00F451DC" w:rsidRDefault="00F451DC" w:rsidP="0031102A">
      <w:pPr>
        <w:spacing w:after="0" w:line="240" w:lineRule="auto"/>
        <w:jc w:val="center"/>
        <w:rPr>
          <w:sz w:val="28"/>
          <w:szCs w:val="28"/>
        </w:rPr>
      </w:pPr>
      <w:r w:rsidRPr="00F451DC">
        <w:rPr>
          <w:sz w:val="28"/>
          <w:szCs w:val="28"/>
        </w:rPr>
        <w:t>Versus</w:t>
      </w:r>
    </w:p>
    <w:p w:rsidR="00F451DC" w:rsidRPr="00F451DC" w:rsidRDefault="00F451DC" w:rsidP="0031102A">
      <w:pPr>
        <w:spacing w:after="0" w:line="240" w:lineRule="auto"/>
        <w:jc w:val="center"/>
        <w:rPr>
          <w:sz w:val="28"/>
          <w:szCs w:val="28"/>
        </w:rPr>
      </w:pPr>
    </w:p>
    <w:p w:rsidR="00F451DC" w:rsidRPr="00F451DC" w:rsidRDefault="00F451DC" w:rsidP="0031102A">
      <w:pPr>
        <w:spacing w:after="0" w:line="240" w:lineRule="auto"/>
        <w:jc w:val="center"/>
        <w:rPr>
          <w:sz w:val="28"/>
          <w:szCs w:val="28"/>
        </w:rPr>
      </w:pPr>
      <w:r w:rsidRPr="00F451DC">
        <w:rPr>
          <w:sz w:val="28"/>
          <w:szCs w:val="28"/>
        </w:rPr>
        <w:t>CIVIL AVIATION AUTHORITY.....................   RESPONDENT</w:t>
      </w:r>
    </w:p>
    <w:p w:rsidR="00F451DC" w:rsidRPr="00F451DC" w:rsidRDefault="00F451DC" w:rsidP="0031102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451DC" w:rsidRPr="00F451DC" w:rsidRDefault="00F451DC" w:rsidP="0031102A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F451DC">
        <w:rPr>
          <w:rFonts w:cs="Calibri"/>
          <w:b/>
          <w:sz w:val="28"/>
          <w:szCs w:val="28"/>
          <w:u w:val="single"/>
        </w:rPr>
        <w:t>BEFORE</w:t>
      </w:r>
    </w:p>
    <w:p w:rsidR="00F451DC" w:rsidRPr="00F451DC" w:rsidRDefault="00F451DC" w:rsidP="0031102A">
      <w:pPr>
        <w:spacing w:after="0" w:line="240" w:lineRule="auto"/>
        <w:jc w:val="both"/>
        <w:rPr>
          <w:rFonts w:cs="Calibri"/>
          <w:sz w:val="28"/>
          <w:szCs w:val="28"/>
        </w:rPr>
      </w:pPr>
      <w:r w:rsidRPr="00F451DC">
        <w:rPr>
          <w:rFonts w:cs="Calibri"/>
          <w:sz w:val="28"/>
          <w:szCs w:val="28"/>
        </w:rPr>
        <w:t>1. Hon. Chief Judge Ruhinda Asaph Ntengye</w:t>
      </w:r>
    </w:p>
    <w:p w:rsidR="00F451DC" w:rsidRPr="00F451DC" w:rsidRDefault="00F451DC" w:rsidP="0031102A">
      <w:pPr>
        <w:spacing w:after="0" w:line="240" w:lineRule="auto"/>
        <w:jc w:val="both"/>
        <w:rPr>
          <w:rFonts w:cs="Calibri"/>
          <w:sz w:val="28"/>
          <w:szCs w:val="28"/>
        </w:rPr>
      </w:pPr>
      <w:r w:rsidRPr="00F451DC">
        <w:rPr>
          <w:rFonts w:cs="Calibri"/>
          <w:sz w:val="28"/>
          <w:szCs w:val="28"/>
        </w:rPr>
        <w:t>2. Hon. Lady Justice Linda Tumusiime Mugisha</w:t>
      </w:r>
    </w:p>
    <w:p w:rsidR="00F451DC" w:rsidRPr="00F451DC" w:rsidRDefault="00F451DC" w:rsidP="0031102A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F451DC" w:rsidRPr="00F451DC" w:rsidRDefault="00F451DC" w:rsidP="0031102A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F451DC">
        <w:rPr>
          <w:rFonts w:cs="Calibri"/>
          <w:b/>
          <w:sz w:val="28"/>
          <w:szCs w:val="28"/>
          <w:u w:val="single"/>
        </w:rPr>
        <w:t>PANELISTS</w:t>
      </w:r>
    </w:p>
    <w:p w:rsidR="00F451DC" w:rsidRPr="00F451DC" w:rsidRDefault="00F451DC" w:rsidP="003110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F451DC">
        <w:rPr>
          <w:rFonts w:asciiTheme="minorHAnsi" w:hAnsiTheme="minorHAnsi"/>
          <w:sz w:val="28"/>
          <w:szCs w:val="28"/>
        </w:rPr>
        <w:t>Mr. Ebyau Fidel</w:t>
      </w:r>
    </w:p>
    <w:p w:rsidR="00F451DC" w:rsidRPr="00F451DC" w:rsidRDefault="00D72147" w:rsidP="003110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Ms. Nyachwo Julian</w:t>
      </w:r>
    </w:p>
    <w:p w:rsidR="00F451DC" w:rsidRPr="00F451DC" w:rsidRDefault="00F451DC" w:rsidP="003110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F451DC">
        <w:rPr>
          <w:rFonts w:asciiTheme="minorHAnsi" w:hAnsiTheme="minorHAnsi"/>
          <w:sz w:val="28"/>
          <w:szCs w:val="28"/>
        </w:rPr>
        <w:t>Mr. Anthony Wanyama</w:t>
      </w:r>
    </w:p>
    <w:p w:rsidR="00F451DC" w:rsidRPr="00F451DC" w:rsidRDefault="00F451DC" w:rsidP="0031102A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D454F2" w:rsidRDefault="00F451DC" w:rsidP="0031102A">
      <w:pPr>
        <w:jc w:val="both"/>
        <w:rPr>
          <w:b/>
          <w:sz w:val="28"/>
          <w:szCs w:val="28"/>
          <w:u w:val="single"/>
        </w:rPr>
      </w:pPr>
      <w:r w:rsidRPr="00F451DC">
        <w:rPr>
          <w:b/>
          <w:sz w:val="28"/>
          <w:szCs w:val="28"/>
          <w:u w:val="single"/>
        </w:rPr>
        <w:t>RULING</w:t>
      </w:r>
    </w:p>
    <w:p w:rsidR="00F82929" w:rsidRDefault="00F451DC" w:rsidP="0031102A">
      <w:pPr>
        <w:jc w:val="both"/>
        <w:rPr>
          <w:sz w:val="28"/>
          <w:szCs w:val="28"/>
        </w:rPr>
      </w:pPr>
      <w:r w:rsidRPr="00F451DC">
        <w:rPr>
          <w:sz w:val="28"/>
          <w:szCs w:val="28"/>
        </w:rPr>
        <w:t>We have heard and listened carefully to the submissions of both counsel on the respective preliminary points o</w:t>
      </w:r>
      <w:r w:rsidR="00D72147">
        <w:rPr>
          <w:sz w:val="28"/>
          <w:szCs w:val="28"/>
        </w:rPr>
        <w:t>f law.  Counsel for the respondent</w:t>
      </w:r>
      <w:r w:rsidRPr="00F451DC">
        <w:rPr>
          <w:sz w:val="28"/>
          <w:szCs w:val="28"/>
        </w:rPr>
        <w:t xml:space="preserve"> submitted that the claim was barred by</w:t>
      </w:r>
      <w:r>
        <w:rPr>
          <w:sz w:val="28"/>
          <w:szCs w:val="28"/>
        </w:rPr>
        <w:t xml:space="preserve"> the </w:t>
      </w:r>
      <w:r w:rsidR="00404BDC">
        <w:rPr>
          <w:b/>
          <w:sz w:val="28"/>
          <w:szCs w:val="28"/>
        </w:rPr>
        <w:t>L</w:t>
      </w:r>
      <w:r w:rsidRPr="00404BDC">
        <w:rPr>
          <w:b/>
          <w:sz w:val="28"/>
          <w:szCs w:val="28"/>
        </w:rPr>
        <w:t>imitation Act</w:t>
      </w:r>
      <w:r>
        <w:rPr>
          <w:sz w:val="28"/>
          <w:szCs w:val="28"/>
        </w:rPr>
        <w:t xml:space="preserve">, having been filed after 6 years of the accrual of the cause of action.  After perusal of </w:t>
      </w:r>
      <w:r w:rsidRPr="00404BDC">
        <w:rPr>
          <w:b/>
          <w:sz w:val="28"/>
          <w:szCs w:val="28"/>
        </w:rPr>
        <w:t>section 22 of the said Act</w:t>
      </w:r>
      <w:r>
        <w:rPr>
          <w:sz w:val="28"/>
          <w:szCs w:val="28"/>
        </w:rPr>
        <w:t xml:space="preserve"> we find that acknowledgement of a debt is the beginning of the ca</w:t>
      </w:r>
      <w:r w:rsidR="00404BDC">
        <w:rPr>
          <w:sz w:val="28"/>
          <w:szCs w:val="28"/>
        </w:rPr>
        <w:t>u</w:t>
      </w:r>
      <w:r>
        <w:rPr>
          <w:sz w:val="28"/>
          <w:szCs w:val="28"/>
        </w:rPr>
        <w:t xml:space="preserve">se of action.  </w:t>
      </w:r>
    </w:p>
    <w:p w:rsidR="00F451DC" w:rsidRDefault="00F451DC" w:rsidP="0031102A">
      <w:pPr>
        <w:jc w:val="both"/>
        <w:rPr>
          <w:sz w:val="28"/>
          <w:szCs w:val="28"/>
        </w:rPr>
      </w:pPr>
      <w:r>
        <w:rPr>
          <w:sz w:val="28"/>
          <w:szCs w:val="28"/>
        </w:rPr>
        <w:t>After perusing paragraph 4(c) of the Memorandum of claim we find that the respondent by issuance of</w:t>
      </w:r>
      <w:r w:rsidR="00404BDC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letter, exhibit “C” dated 19/1/2015 acknowledge</w:t>
      </w:r>
      <w:r w:rsidR="00404BDC">
        <w:rPr>
          <w:sz w:val="28"/>
          <w:szCs w:val="28"/>
        </w:rPr>
        <w:t xml:space="preserve">d </w:t>
      </w:r>
      <w:r w:rsidR="00F82929">
        <w:rPr>
          <w:sz w:val="28"/>
          <w:szCs w:val="28"/>
        </w:rPr>
        <w:t>that the</w:t>
      </w:r>
      <w:r w:rsidR="00763300">
        <w:rPr>
          <w:sz w:val="28"/>
          <w:szCs w:val="28"/>
        </w:rPr>
        <w:t xml:space="preserve"> claimant was entitled to terminal benefits and therefore the cause of action arose fr</w:t>
      </w:r>
      <w:r w:rsidR="00404BDC">
        <w:rPr>
          <w:sz w:val="28"/>
          <w:szCs w:val="28"/>
        </w:rPr>
        <w:t xml:space="preserve">om 19/1/2015 and not 1999 as </w:t>
      </w:r>
      <w:r w:rsidR="00763300">
        <w:rPr>
          <w:sz w:val="28"/>
          <w:szCs w:val="28"/>
        </w:rPr>
        <w:t xml:space="preserve"> counsel for the respondent argued.</w:t>
      </w:r>
    </w:p>
    <w:p w:rsidR="00763300" w:rsidRDefault="00763300" w:rsidP="0031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82929">
        <w:rPr>
          <w:sz w:val="28"/>
          <w:szCs w:val="28"/>
        </w:rPr>
        <w:t>claimant’s contention</w:t>
      </w:r>
      <w:r>
        <w:rPr>
          <w:sz w:val="28"/>
          <w:szCs w:val="28"/>
        </w:rPr>
        <w:t xml:space="preserve"> is that although he had secured a loan and was therefore indebted to the respondent, the </w:t>
      </w:r>
      <w:r w:rsidR="00F82929">
        <w:rPr>
          <w:sz w:val="28"/>
          <w:szCs w:val="28"/>
        </w:rPr>
        <w:t xml:space="preserve">counterclaim of this </w:t>
      </w:r>
      <w:r w:rsidR="00404BDC">
        <w:rPr>
          <w:sz w:val="28"/>
          <w:szCs w:val="28"/>
        </w:rPr>
        <w:t>indebtedness was barred by the L</w:t>
      </w:r>
      <w:r w:rsidR="00F82929">
        <w:rPr>
          <w:sz w:val="28"/>
          <w:szCs w:val="28"/>
        </w:rPr>
        <w:t>imitation Act having accrued in 1999 when it was due.</w:t>
      </w:r>
    </w:p>
    <w:p w:rsidR="00F82929" w:rsidRDefault="00F82929" w:rsidP="0031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counterclaim is a distinct cause of action from a suit from which it arises.  It </w:t>
      </w:r>
      <w:r w:rsidR="0031102A">
        <w:rPr>
          <w:sz w:val="28"/>
          <w:szCs w:val="28"/>
        </w:rPr>
        <w:t>is therefore</w:t>
      </w:r>
      <w:r>
        <w:rPr>
          <w:sz w:val="28"/>
          <w:szCs w:val="28"/>
        </w:rPr>
        <w:t xml:space="preserve"> governed by the same rules and legal framework as the suit.  Therefore the limitation Act applies to a counterclaim with the same force it applies to the suit from which it arises.</w:t>
      </w:r>
    </w:p>
    <w:p w:rsidR="00F82929" w:rsidRDefault="00F82929" w:rsidP="003110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respondent in paragraph 5 of the reply to the memorandum of claim states that the claimant owes them 4,607,118/= in personal advances incurred by the time he resigned.  They claim also that he owes the CAA Employees Co-operative Savings and Credit Society Ltd. 3,326,052/=.  It is our considered opinion that the respondent was entitled to set off the debt of the claimant from the entitled benefits and this entitlement cannot be divorced fro</w:t>
      </w:r>
      <w:r w:rsidR="00404BDC">
        <w:rPr>
          <w:sz w:val="28"/>
          <w:szCs w:val="28"/>
        </w:rPr>
        <w:t xml:space="preserve">m the benefits. It is our opinion </w:t>
      </w:r>
      <w:r>
        <w:rPr>
          <w:sz w:val="28"/>
          <w:szCs w:val="28"/>
        </w:rPr>
        <w:t xml:space="preserve"> therefore that in as much as the acknowledgement of the existence of the benefits is the beginning of the cause of action</w:t>
      </w:r>
      <w:r w:rsidR="00404BDC">
        <w:rPr>
          <w:sz w:val="28"/>
          <w:szCs w:val="28"/>
        </w:rPr>
        <w:t>,</w:t>
      </w:r>
      <w:r>
        <w:rPr>
          <w:sz w:val="28"/>
          <w:szCs w:val="28"/>
        </w:rPr>
        <w:t xml:space="preserve"> it is at the same time a reciprocal </w:t>
      </w:r>
      <w:r w:rsidR="0031102A">
        <w:rPr>
          <w:sz w:val="28"/>
          <w:szCs w:val="28"/>
        </w:rPr>
        <w:t xml:space="preserve"> b</w:t>
      </w:r>
      <w:r w:rsidR="005E568C">
        <w:rPr>
          <w:sz w:val="28"/>
          <w:szCs w:val="28"/>
        </w:rPr>
        <w:t>eginning of the entitlement to  set off the debt of the respondent.</w:t>
      </w:r>
    </w:p>
    <w:p w:rsidR="0031102A" w:rsidRDefault="0031102A" w:rsidP="0031102A">
      <w:pPr>
        <w:jc w:val="both"/>
        <w:rPr>
          <w:sz w:val="28"/>
          <w:szCs w:val="28"/>
        </w:rPr>
      </w:pPr>
      <w:r>
        <w:rPr>
          <w:sz w:val="28"/>
          <w:szCs w:val="28"/>
        </w:rPr>
        <w:t>The claimant after resignation did not within the prescribed time apply for his benefits.  It is not far-fetched to say that this was because he knew he had debts with the respondent which could easily set off the benefits.  The respondent therefore was entitled to a set off at the time of resignation of the claimant and exhibit “C” relating to terminal benefits was only a reply to the claimant’s claim for the same which clearly explained that there had been a set off.</w:t>
      </w:r>
    </w:p>
    <w:p w:rsidR="0031102A" w:rsidRDefault="0031102A" w:rsidP="0031102A">
      <w:pPr>
        <w:jc w:val="both"/>
        <w:rPr>
          <w:sz w:val="28"/>
          <w:szCs w:val="28"/>
        </w:rPr>
      </w:pPr>
      <w:r>
        <w:rPr>
          <w:sz w:val="28"/>
          <w:szCs w:val="28"/>
        </w:rPr>
        <w:t>Therefore the submission that it is now time barred collapses.</w:t>
      </w:r>
    </w:p>
    <w:p w:rsidR="0031102A" w:rsidRDefault="0031102A" w:rsidP="0031102A">
      <w:pPr>
        <w:jc w:val="both"/>
        <w:rPr>
          <w:sz w:val="28"/>
          <w:szCs w:val="28"/>
        </w:rPr>
      </w:pPr>
      <w:r>
        <w:rPr>
          <w:sz w:val="28"/>
          <w:szCs w:val="28"/>
        </w:rPr>
        <w:t>We accordingly hold that both preliminary objections are devoid of any merit and bot</w:t>
      </w:r>
      <w:r w:rsidR="00232322"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 xml:space="preserve"> are overruled.  Both the claim and the counter claim will be heard on merits.</w:t>
      </w:r>
    </w:p>
    <w:p w:rsidR="0031102A" w:rsidRDefault="0031102A" w:rsidP="0031102A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</w:p>
    <w:p w:rsidR="0031102A" w:rsidRPr="00F451DC" w:rsidRDefault="0031102A" w:rsidP="00BF6D1B">
      <w:pPr>
        <w:spacing w:after="0" w:line="36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Signed by:</w:t>
      </w:r>
    </w:p>
    <w:p w:rsidR="0031102A" w:rsidRPr="00F451DC" w:rsidRDefault="0031102A" w:rsidP="00BF6D1B">
      <w:pPr>
        <w:spacing w:after="0" w:line="360" w:lineRule="auto"/>
        <w:jc w:val="both"/>
        <w:rPr>
          <w:rFonts w:cs="Calibri"/>
          <w:sz w:val="28"/>
          <w:szCs w:val="28"/>
        </w:rPr>
      </w:pPr>
      <w:r w:rsidRPr="00F451DC">
        <w:rPr>
          <w:rFonts w:cs="Calibri"/>
          <w:sz w:val="28"/>
          <w:szCs w:val="28"/>
        </w:rPr>
        <w:t>1. Hon. Chief Judge Ruhinda Asaph Ntengye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………………………………</w:t>
      </w:r>
    </w:p>
    <w:p w:rsidR="0031102A" w:rsidRPr="00F451DC" w:rsidRDefault="0031102A" w:rsidP="00BF6D1B">
      <w:pPr>
        <w:spacing w:after="0" w:line="360" w:lineRule="auto"/>
        <w:jc w:val="both"/>
        <w:rPr>
          <w:rFonts w:cs="Calibri"/>
          <w:sz w:val="28"/>
          <w:szCs w:val="28"/>
        </w:rPr>
      </w:pPr>
      <w:r w:rsidRPr="00F451DC">
        <w:rPr>
          <w:rFonts w:cs="Calibri"/>
          <w:sz w:val="28"/>
          <w:szCs w:val="28"/>
        </w:rPr>
        <w:t>2. Hon. Lady Justice Linda Tumusiime Mugisha</w:t>
      </w:r>
      <w:r>
        <w:rPr>
          <w:rFonts w:cs="Calibri"/>
          <w:sz w:val="28"/>
          <w:szCs w:val="28"/>
        </w:rPr>
        <w:tab/>
        <w:t>………………………………</w:t>
      </w:r>
    </w:p>
    <w:p w:rsidR="0031102A" w:rsidRPr="00F451DC" w:rsidRDefault="0031102A" w:rsidP="00BF6D1B">
      <w:pPr>
        <w:spacing w:after="0" w:line="360" w:lineRule="auto"/>
        <w:jc w:val="both"/>
        <w:rPr>
          <w:rFonts w:cs="Calibri"/>
          <w:sz w:val="28"/>
          <w:szCs w:val="28"/>
          <w:u w:val="single"/>
        </w:rPr>
      </w:pPr>
    </w:p>
    <w:p w:rsidR="0031102A" w:rsidRPr="00F451DC" w:rsidRDefault="0031102A" w:rsidP="00BF6D1B">
      <w:pPr>
        <w:spacing w:after="0" w:line="360" w:lineRule="auto"/>
        <w:jc w:val="both"/>
        <w:rPr>
          <w:rFonts w:cs="Calibri"/>
          <w:b/>
          <w:sz w:val="28"/>
          <w:szCs w:val="28"/>
          <w:u w:val="single"/>
        </w:rPr>
      </w:pPr>
      <w:r w:rsidRPr="00F451DC">
        <w:rPr>
          <w:rFonts w:cs="Calibri"/>
          <w:b/>
          <w:sz w:val="28"/>
          <w:szCs w:val="28"/>
          <w:u w:val="single"/>
        </w:rPr>
        <w:t>PANELISTS</w:t>
      </w:r>
    </w:p>
    <w:p w:rsidR="0031102A" w:rsidRPr="00F451DC" w:rsidRDefault="0031102A" w:rsidP="00BF6D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F451DC">
        <w:rPr>
          <w:rFonts w:asciiTheme="minorHAnsi" w:hAnsiTheme="minorHAnsi"/>
          <w:sz w:val="28"/>
          <w:szCs w:val="28"/>
        </w:rPr>
        <w:t>Mr. Ebyau Fidel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cs="Calibri"/>
          <w:sz w:val="28"/>
          <w:szCs w:val="28"/>
        </w:rPr>
        <w:t>………………………………</w:t>
      </w:r>
    </w:p>
    <w:p w:rsidR="0031102A" w:rsidRPr="00F451DC" w:rsidRDefault="00D72147" w:rsidP="00BF6D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Ms. Nyachwo Julian</w:t>
      </w:r>
      <w:r w:rsidR="0031102A">
        <w:rPr>
          <w:rFonts w:asciiTheme="minorHAnsi" w:hAnsiTheme="minorHAnsi"/>
          <w:sz w:val="28"/>
          <w:szCs w:val="28"/>
        </w:rPr>
        <w:tab/>
      </w:r>
      <w:r w:rsidR="0031102A">
        <w:rPr>
          <w:rFonts w:asciiTheme="minorHAnsi" w:hAnsiTheme="minorHAnsi"/>
          <w:sz w:val="28"/>
          <w:szCs w:val="28"/>
        </w:rPr>
        <w:tab/>
      </w:r>
      <w:r w:rsidR="0031102A">
        <w:rPr>
          <w:rFonts w:cs="Calibri"/>
          <w:sz w:val="28"/>
          <w:szCs w:val="28"/>
        </w:rPr>
        <w:t>………………………………</w:t>
      </w:r>
    </w:p>
    <w:p w:rsidR="0031102A" w:rsidRPr="00BF6D1B" w:rsidRDefault="0031102A" w:rsidP="00BF6D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F451DC">
        <w:rPr>
          <w:rFonts w:asciiTheme="minorHAnsi" w:hAnsiTheme="minorHAnsi"/>
          <w:sz w:val="28"/>
          <w:szCs w:val="28"/>
        </w:rPr>
        <w:t>Mr. Anthony Wanyama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cs="Calibri"/>
          <w:sz w:val="28"/>
          <w:szCs w:val="28"/>
        </w:rPr>
        <w:t>………………………………</w:t>
      </w:r>
    </w:p>
    <w:p w:rsidR="00BF6D1B" w:rsidRDefault="00BF6D1B" w:rsidP="00BF6D1B">
      <w:pPr>
        <w:pStyle w:val="ListParagraph"/>
        <w:spacing w:after="0" w:line="480" w:lineRule="auto"/>
        <w:ind w:left="360"/>
        <w:jc w:val="both"/>
        <w:rPr>
          <w:rFonts w:cs="Calibri"/>
          <w:sz w:val="28"/>
          <w:szCs w:val="28"/>
        </w:rPr>
      </w:pPr>
    </w:p>
    <w:p w:rsidR="00F82929" w:rsidRPr="00F451DC" w:rsidRDefault="00BF6D1B" w:rsidP="00BF6D1B">
      <w:pPr>
        <w:pStyle w:val="ListParagraph"/>
        <w:spacing w:after="0" w:line="480" w:lineRule="auto"/>
        <w:ind w:left="36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Dated: </w:t>
      </w:r>
      <w:r w:rsidR="00D72147">
        <w:rPr>
          <w:rFonts w:cs="Calibri"/>
          <w:sz w:val="28"/>
          <w:szCs w:val="28"/>
        </w:rPr>
        <w:t>02/02/2018</w:t>
      </w:r>
    </w:p>
    <w:sectPr w:rsidR="00F82929" w:rsidRPr="00F451DC" w:rsidSect="00BF6D1B">
      <w:footerReference w:type="default" r:id="rId7"/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70" w:rsidRDefault="003F5D70" w:rsidP="0031102A">
      <w:pPr>
        <w:spacing w:after="0" w:line="240" w:lineRule="auto"/>
      </w:pPr>
      <w:r>
        <w:separator/>
      </w:r>
    </w:p>
  </w:endnote>
  <w:endnote w:type="continuationSeparator" w:id="1">
    <w:p w:rsidR="003F5D70" w:rsidRDefault="003F5D70" w:rsidP="0031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488"/>
      <w:docPartObj>
        <w:docPartGallery w:val="Page Numbers (Bottom of Page)"/>
        <w:docPartUnique/>
      </w:docPartObj>
    </w:sdtPr>
    <w:sdtContent>
      <w:p w:rsidR="00EB53F8" w:rsidRDefault="00CE47F1">
        <w:pPr>
          <w:pStyle w:val="Footer"/>
          <w:jc w:val="center"/>
        </w:pPr>
        <w:fldSimple w:instr=" PAGE   \* MERGEFORMAT ">
          <w:r w:rsidR="00D72147">
            <w:rPr>
              <w:noProof/>
            </w:rPr>
            <w:t>2</w:t>
          </w:r>
        </w:fldSimple>
      </w:p>
    </w:sdtContent>
  </w:sdt>
  <w:p w:rsidR="0031102A" w:rsidRDefault="00311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70" w:rsidRDefault="003F5D70" w:rsidP="0031102A">
      <w:pPr>
        <w:spacing w:after="0" w:line="240" w:lineRule="auto"/>
      </w:pPr>
      <w:r>
        <w:separator/>
      </w:r>
    </w:p>
  </w:footnote>
  <w:footnote w:type="continuationSeparator" w:id="1">
    <w:p w:rsidR="003F5D70" w:rsidRDefault="003F5D70" w:rsidP="0031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2AA6"/>
    <w:multiLevelType w:val="hybridMultilevel"/>
    <w:tmpl w:val="2416AB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52960"/>
    <w:multiLevelType w:val="hybridMultilevel"/>
    <w:tmpl w:val="2416AB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1DC"/>
    <w:rsid w:val="00232322"/>
    <w:rsid w:val="0031102A"/>
    <w:rsid w:val="003F5D70"/>
    <w:rsid w:val="00404BDC"/>
    <w:rsid w:val="004E50A3"/>
    <w:rsid w:val="005E568C"/>
    <w:rsid w:val="00763300"/>
    <w:rsid w:val="00895C60"/>
    <w:rsid w:val="00942AEE"/>
    <w:rsid w:val="009C52CF"/>
    <w:rsid w:val="00AE0139"/>
    <w:rsid w:val="00BF6D1B"/>
    <w:rsid w:val="00CE47F1"/>
    <w:rsid w:val="00D72147"/>
    <w:rsid w:val="00EB53F8"/>
    <w:rsid w:val="00F451DC"/>
    <w:rsid w:val="00F82929"/>
    <w:rsid w:val="00FC2240"/>
    <w:rsid w:val="00FD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DC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11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2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2A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Personal</cp:lastModifiedBy>
  <cp:revision>6</cp:revision>
  <cp:lastPrinted>2018-02-02T06:28:00Z</cp:lastPrinted>
  <dcterms:created xsi:type="dcterms:W3CDTF">2018-02-01T07:00:00Z</dcterms:created>
  <dcterms:modified xsi:type="dcterms:W3CDTF">2018-02-02T07:41:00Z</dcterms:modified>
</cp:coreProperties>
</file>