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BE" w:rsidRPr="00881DA0" w:rsidRDefault="005754BE" w:rsidP="005754BE">
      <w:pPr>
        <w:spacing w:after="0" w:line="240" w:lineRule="auto"/>
        <w:ind w:left="90"/>
        <w:jc w:val="center"/>
        <w:rPr>
          <w:rFonts w:cstheme="minorHAnsi"/>
          <w:b/>
          <w:sz w:val="28"/>
          <w:szCs w:val="28"/>
        </w:rPr>
      </w:pPr>
      <w:r w:rsidRPr="00881DA0">
        <w:rPr>
          <w:rFonts w:cstheme="minorHAnsi"/>
          <w:b/>
          <w:sz w:val="28"/>
          <w:szCs w:val="28"/>
        </w:rPr>
        <w:t>THE REPUBLIC OF UGANDA</w:t>
      </w:r>
    </w:p>
    <w:p w:rsidR="005754BE" w:rsidRPr="00881DA0" w:rsidRDefault="005754BE" w:rsidP="005754BE">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5754BE" w:rsidRPr="00881DA0" w:rsidRDefault="005754BE" w:rsidP="005754BE">
      <w:pPr>
        <w:spacing w:after="0" w:line="240" w:lineRule="auto"/>
        <w:ind w:left="90"/>
        <w:jc w:val="center"/>
        <w:rPr>
          <w:rFonts w:cstheme="minorHAnsi"/>
          <w:b/>
          <w:sz w:val="28"/>
          <w:szCs w:val="28"/>
        </w:rPr>
      </w:pPr>
      <w:r>
        <w:rPr>
          <w:rFonts w:cstheme="minorHAnsi"/>
          <w:b/>
          <w:sz w:val="28"/>
          <w:szCs w:val="28"/>
        </w:rPr>
        <w:t>MISC. APPL.  NO. 15 OF 2021</w:t>
      </w:r>
    </w:p>
    <w:p w:rsidR="005754BE" w:rsidRPr="00881DA0" w:rsidRDefault="005754BE" w:rsidP="005754BE">
      <w:pPr>
        <w:spacing w:after="0" w:line="240" w:lineRule="auto"/>
        <w:ind w:left="90"/>
        <w:jc w:val="center"/>
        <w:rPr>
          <w:rFonts w:cstheme="minorHAnsi"/>
          <w:b/>
          <w:sz w:val="28"/>
          <w:szCs w:val="28"/>
        </w:rPr>
      </w:pPr>
      <w:r>
        <w:rPr>
          <w:rFonts w:cstheme="minorHAnsi"/>
          <w:b/>
          <w:sz w:val="28"/>
          <w:szCs w:val="28"/>
        </w:rPr>
        <w:t xml:space="preserve">[ARISING FROM MISC. APPL.  NO. </w:t>
      </w:r>
      <w:r w:rsidR="00D5415C">
        <w:rPr>
          <w:rFonts w:cstheme="minorHAnsi"/>
          <w:b/>
          <w:sz w:val="28"/>
          <w:szCs w:val="28"/>
        </w:rPr>
        <w:t>117</w:t>
      </w:r>
      <w:r>
        <w:rPr>
          <w:rFonts w:cstheme="minorHAnsi"/>
          <w:b/>
          <w:sz w:val="28"/>
          <w:szCs w:val="28"/>
        </w:rPr>
        <w:t xml:space="preserve"> OF 20</w:t>
      </w:r>
      <w:r w:rsidR="00D5415C">
        <w:rPr>
          <w:rFonts w:cstheme="minorHAnsi"/>
          <w:b/>
          <w:sz w:val="28"/>
          <w:szCs w:val="28"/>
        </w:rPr>
        <w:t>20</w:t>
      </w:r>
      <w:r w:rsidRPr="00881DA0">
        <w:rPr>
          <w:rFonts w:cstheme="minorHAnsi"/>
          <w:b/>
          <w:sz w:val="28"/>
          <w:szCs w:val="28"/>
        </w:rPr>
        <w:t>]</w:t>
      </w:r>
    </w:p>
    <w:p w:rsidR="005754BE" w:rsidRPr="00881DA0" w:rsidRDefault="005754BE" w:rsidP="005754BE">
      <w:pPr>
        <w:spacing w:after="0" w:line="240" w:lineRule="auto"/>
        <w:ind w:left="90"/>
        <w:jc w:val="center"/>
        <w:rPr>
          <w:rFonts w:cstheme="minorHAnsi"/>
          <w:b/>
          <w:sz w:val="28"/>
          <w:szCs w:val="28"/>
        </w:rPr>
      </w:pPr>
    </w:p>
    <w:p w:rsidR="005754BE" w:rsidRPr="00881DA0" w:rsidRDefault="005754BE" w:rsidP="005754BE">
      <w:pPr>
        <w:spacing w:after="0" w:line="240" w:lineRule="auto"/>
        <w:ind w:left="90"/>
        <w:jc w:val="center"/>
        <w:rPr>
          <w:rFonts w:cstheme="minorHAnsi"/>
          <w:b/>
          <w:sz w:val="28"/>
          <w:szCs w:val="28"/>
        </w:rPr>
      </w:pPr>
      <w:r w:rsidRPr="00881DA0">
        <w:rPr>
          <w:rFonts w:cstheme="minorHAnsi"/>
          <w:b/>
          <w:sz w:val="28"/>
          <w:szCs w:val="28"/>
        </w:rPr>
        <w:t>BETWEEN</w:t>
      </w:r>
    </w:p>
    <w:p w:rsidR="005754BE" w:rsidRPr="00881DA0" w:rsidRDefault="005754BE" w:rsidP="005754BE">
      <w:pPr>
        <w:spacing w:after="0" w:line="240" w:lineRule="auto"/>
        <w:ind w:left="90"/>
        <w:jc w:val="center"/>
        <w:rPr>
          <w:rFonts w:cstheme="minorHAnsi"/>
          <w:b/>
          <w:sz w:val="28"/>
          <w:szCs w:val="28"/>
        </w:rPr>
      </w:pPr>
    </w:p>
    <w:p w:rsidR="005754BE" w:rsidRPr="00165EE4" w:rsidRDefault="00D5415C" w:rsidP="005754BE">
      <w:pPr>
        <w:spacing w:after="0" w:line="240" w:lineRule="auto"/>
        <w:rPr>
          <w:rFonts w:cstheme="minorHAnsi"/>
          <w:b/>
          <w:sz w:val="28"/>
          <w:szCs w:val="28"/>
        </w:rPr>
      </w:pPr>
      <w:r>
        <w:rPr>
          <w:b/>
          <w:sz w:val="28"/>
          <w:szCs w:val="28"/>
        </w:rPr>
        <w:t>MAKERERE UNIVERSITY</w:t>
      </w:r>
      <w:r w:rsidRPr="00165EE4">
        <w:rPr>
          <w:rFonts w:cstheme="minorHAnsi"/>
          <w:b/>
          <w:sz w:val="28"/>
          <w:szCs w:val="28"/>
        </w:rPr>
        <w:t xml:space="preserve"> </w:t>
      </w:r>
      <w:r w:rsidR="005754BE">
        <w:rPr>
          <w:rFonts w:cstheme="minorHAnsi"/>
          <w:b/>
          <w:sz w:val="28"/>
          <w:szCs w:val="28"/>
        </w:rPr>
        <w:t>…………………………………………………………</w:t>
      </w:r>
      <w:proofErr w:type="gramStart"/>
      <w:r w:rsidR="005754BE">
        <w:rPr>
          <w:rFonts w:cstheme="minorHAnsi"/>
          <w:b/>
          <w:sz w:val="28"/>
          <w:szCs w:val="28"/>
        </w:rPr>
        <w:t>…..</w:t>
      </w:r>
      <w:proofErr w:type="gramEnd"/>
      <w:r w:rsidR="005754BE" w:rsidRPr="00165EE4">
        <w:rPr>
          <w:rFonts w:cstheme="minorHAnsi"/>
          <w:b/>
          <w:sz w:val="28"/>
          <w:szCs w:val="28"/>
        </w:rPr>
        <w:t>…..</w:t>
      </w:r>
      <w:r>
        <w:rPr>
          <w:rFonts w:cstheme="minorHAnsi"/>
          <w:b/>
          <w:sz w:val="28"/>
          <w:szCs w:val="28"/>
        </w:rPr>
        <w:t>APPLIC</w:t>
      </w:r>
      <w:r w:rsidR="005754BE" w:rsidRPr="00165EE4">
        <w:rPr>
          <w:rFonts w:cstheme="minorHAnsi"/>
          <w:b/>
          <w:sz w:val="28"/>
          <w:szCs w:val="28"/>
        </w:rPr>
        <w:t>ANT</w:t>
      </w:r>
    </w:p>
    <w:p w:rsidR="005754BE" w:rsidRPr="00881DA0" w:rsidRDefault="005754BE" w:rsidP="005754BE">
      <w:pPr>
        <w:spacing w:after="0" w:line="240" w:lineRule="auto"/>
        <w:ind w:left="90"/>
        <w:jc w:val="center"/>
        <w:rPr>
          <w:rFonts w:cstheme="minorHAnsi"/>
          <w:b/>
          <w:sz w:val="28"/>
          <w:szCs w:val="28"/>
        </w:rPr>
      </w:pPr>
    </w:p>
    <w:p w:rsidR="005754BE" w:rsidRPr="00881DA0" w:rsidRDefault="005754BE" w:rsidP="005754BE">
      <w:pPr>
        <w:spacing w:after="0" w:line="240" w:lineRule="auto"/>
        <w:ind w:left="90"/>
        <w:jc w:val="center"/>
        <w:rPr>
          <w:rFonts w:cstheme="minorHAnsi"/>
          <w:b/>
          <w:sz w:val="28"/>
          <w:szCs w:val="28"/>
        </w:rPr>
      </w:pPr>
      <w:r w:rsidRPr="00881DA0">
        <w:rPr>
          <w:rFonts w:cstheme="minorHAnsi"/>
          <w:b/>
          <w:sz w:val="28"/>
          <w:szCs w:val="28"/>
        </w:rPr>
        <w:t>VERSUS</w:t>
      </w:r>
    </w:p>
    <w:p w:rsidR="005754BE" w:rsidRPr="00881DA0" w:rsidRDefault="005754BE" w:rsidP="005754BE">
      <w:pPr>
        <w:spacing w:after="0" w:line="240" w:lineRule="auto"/>
        <w:ind w:left="90"/>
        <w:jc w:val="center"/>
        <w:rPr>
          <w:rFonts w:cstheme="minorHAnsi"/>
          <w:b/>
          <w:sz w:val="28"/>
          <w:szCs w:val="28"/>
        </w:rPr>
      </w:pPr>
    </w:p>
    <w:p w:rsidR="00D5415C" w:rsidRDefault="00D5415C" w:rsidP="00D5415C">
      <w:pPr>
        <w:pStyle w:val="ListParagraph"/>
        <w:numPr>
          <w:ilvl w:val="0"/>
          <w:numId w:val="5"/>
        </w:numPr>
        <w:spacing w:after="0" w:line="240" w:lineRule="auto"/>
        <w:rPr>
          <w:rFonts w:cstheme="minorHAnsi"/>
          <w:b/>
          <w:sz w:val="28"/>
          <w:szCs w:val="28"/>
        </w:rPr>
      </w:pPr>
      <w:r w:rsidRPr="00D5415C">
        <w:rPr>
          <w:rFonts w:cstheme="minorHAnsi"/>
          <w:b/>
          <w:sz w:val="28"/>
          <w:szCs w:val="28"/>
        </w:rPr>
        <w:t xml:space="preserve">CHARLES LUBOWA </w:t>
      </w:r>
      <w:r w:rsidR="005754BE" w:rsidRPr="00D5415C">
        <w:rPr>
          <w:rFonts w:cstheme="minorHAnsi"/>
          <w:b/>
          <w:sz w:val="28"/>
          <w:szCs w:val="28"/>
        </w:rPr>
        <w:t xml:space="preserve"> </w:t>
      </w:r>
    </w:p>
    <w:p w:rsidR="00D5415C" w:rsidRDefault="00D5415C" w:rsidP="00D5415C">
      <w:pPr>
        <w:pStyle w:val="ListParagraph"/>
        <w:numPr>
          <w:ilvl w:val="0"/>
          <w:numId w:val="5"/>
        </w:numPr>
        <w:spacing w:after="0" w:line="240" w:lineRule="auto"/>
        <w:rPr>
          <w:rFonts w:cstheme="minorHAnsi"/>
          <w:b/>
          <w:sz w:val="28"/>
          <w:szCs w:val="28"/>
        </w:rPr>
      </w:pPr>
      <w:r>
        <w:rPr>
          <w:rFonts w:cstheme="minorHAnsi"/>
          <w:b/>
          <w:sz w:val="28"/>
          <w:szCs w:val="28"/>
        </w:rPr>
        <w:t>W.N.E KISAMBIRA MASABA</w:t>
      </w:r>
    </w:p>
    <w:p w:rsidR="005754BE" w:rsidRPr="00D5415C" w:rsidRDefault="00D5415C" w:rsidP="00D5415C">
      <w:pPr>
        <w:pStyle w:val="ListParagraph"/>
        <w:numPr>
          <w:ilvl w:val="0"/>
          <w:numId w:val="5"/>
        </w:numPr>
        <w:spacing w:after="0" w:line="240" w:lineRule="auto"/>
        <w:rPr>
          <w:rFonts w:cstheme="minorHAnsi"/>
          <w:b/>
          <w:sz w:val="28"/>
          <w:szCs w:val="28"/>
        </w:rPr>
      </w:pPr>
      <w:r>
        <w:rPr>
          <w:rFonts w:cstheme="minorHAnsi"/>
          <w:b/>
          <w:sz w:val="28"/>
          <w:szCs w:val="28"/>
        </w:rPr>
        <w:t>J.C. KIGULI MUYANJA</w:t>
      </w:r>
      <w:r w:rsidR="005754BE" w:rsidRPr="00D5415C">
        <w:rPr>
          <w:rFonts w:cstheme="minorHAnsi"/>
          <w:b/>
          <w:sz w:val="28"/>
          <w:szCs w:val="28"/>
        </w:rPr>
        <w:t>…………………</w:t>
      </w:r>
      <w:r>
        <w:rPr>
          <w:rFonts w:cstheme="minorHAnsi"/>
          <w:b/>
          <w:sz w:val="28"/>
          <w:szCs w:val="28"/>
        </w:rPr>
        <w:t>…..</w:t>
      </w:r>
      <w:r w:rsidR="005754BE" w:rsidRPr="00D5415C">
        <w:rPr>
          <w:rFonts w:cstheme="minorHAnsi"/>
          <w:b/>
          <w:sz w:val="28"/>
          <w:szCs w:val="28"/>
        </w:rPr>
        <w:t>…….…</w:t>
      </w:r>
      <w:r>
        <w:rPr>
          <w:rFonts w:cstheme="minorHAnsi"/>
          <w:b/>
          <w:sz w:val="28"/>
          <w:szCs w:val="28"/>
        </w:rPr>
        <w:t>…</w:t>
      </w:r>
      <w:r w:rsidR="005754BE" w:rsidRPr="00D5415C">
        <w:rPr>
          <w:rFonts w:cstheme="minorHAnsi"/>
          <w:b/>
          <w:sz w:val="28"/>
          <w:szCs w:val="28"/>
        </w:rPr>
        <w:t>……………………..……RESPONDENT</w:t>
      </w:r>
    </w:p>
    <w:p w:rsidR="005754BE" w:rsidRPr="00881DA0" w:rsidRDefault="005754BE" w:rsidP="005754BE">
      <w:pPr>
        <w:spacing w:after="0" w:line="360" w:lineRule="auto"/>
        <w:ind w:left="90"/>
        <w:jc w:val="both"/>
        <w:rPr>
          <w:rFonts w:cstheme="minorHAnsi"/>
          <w:b/>
          <w:sz w:val="28"/>
          <w:szCs w:val="28"/>
          <w:u w:val="single"/>
        </w:rPr>
      </w:pPr>
    </w:p>
    <w:p w:rsidR="005754BE" w:rsidRPr="00881DA0" w:rsidRDefault="005754BE" w:rsidP="005754BE">
      <w:pPr>
        <w:spacing w:after="0" w:line="360" w:lineRule="auto"/>
        <w:ind w:left="90"/>
        <w:jc w:val="both"/>
        <w:rPr>
          <w:rFonts w:cstheme="minorHAnsi"/>
          <w:b/>
          <w:sz w:val="28"/>
          <w:szCs w:val="28"/>
          <w:u w:val="single"/>
        </w:rPr>
      </w:pPr>
      <w:r w:rsidRPr="00881DA0">
        <w:rPr>
          <w:rFonts w:cstheme="minorHAnsi"/>
          <w:b/>
          <w:sz w:val="28"/>
          <w:szCs w:val="28"/>
          <w:u w:val="single"/>
        </w:rPr>
        <w:t>BEFORE</w:t>
      </w:r>
    </w:p>
    <w:p w:rsidR="005754BE" w:rsidRPr="00881DA0" w:rsidRDefault="005754BE" w:rsidP="005754BE">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5754BE" w:rsidRPr="00881DA0" w:rsidRDefault="005754BE" w:rsidP="005754BE">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5754BE" w:rsidRPr="00881DA0" w:rsidRDefault="005754BE" w:rsidP="005754BE">
      <w:pPr>
        <w:spacing w:after="0" w:line="360" w:lineRule="auto"/>
        <w:ind w:left="90"/>
        <w:jc w:val="both"/>
        <w:rPr>
          <w:rFonts w:cstheme="minorHAnsi"/>
          <w:sz w:val="28"/>
          <w:szCs w:val="28"/>
        </w:rPr>
      </w:pPr>
    </w:p>
    <w:p w:rsidR="005754BE" w:rsidRPr="00881DA0" w:rsidRDefault="005754BE" w:rsidP="005754BE">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5754BE" w:rsidRPr="00881DA0" w:rsidRDefault="005754BE" w:rsidP="005754BE">
      <w:pPr>
        <w:pStyle w:val="ListParagraph"/>
        <w:numPr>
          <w:ilvl w:val="0"/>
          <w:numId w:val="2"/>
        </w:numPr>
        <w:spacing w:after="0" w:line="360" w:lineRule="auto"/>
        <w:rPr>
          <w:rFonts w:cstheme="minorHAnsi"/>
          <w:sz w:val="28"/>
          <w:szCs w:val="28"/>
        </w:rPr>
      </w:pPr>
      <w:r w:rsidRPr="00881DA0">
        <w:rPr>
          <w:rFonts w:cstheme="minorHAnsi"/>
          <w:sz w:val="28"/>
          <w:szCs w:val="28"/>
        </w:rPr>
        <w:t xml:space="preserve">Mr. </w:t>
      </w:r>
      <w:proofErr w:type="spellStart"/>
      <w:r w:rsidR="00D5415C">
        <w:rPr>
          <w:rFonts w:cstheme="minorHAnsi"/>
          <w:sz w:val="28"/>
          <w:szCs w:val="28"/>
        </w:rPr>
        <w:t>Ebyau</w:t>
      </w:r>
      <w:proofErr w:type="spellEnd"/>
      <w:r w:rsidR="00D5415C">
        <w:rPr>
          <w:rFonts w:cstheme="minorHAnsi"/>
          <w:sz w:val="28"/>
          <w:szCs w:val="28"/>
        </w:rPr>
        <w:t xml:space="preserve"> Fidel</w:t>
      </w:r>
    </w:p>
    <w:p w:rsidR="005754BE" w:rsidRPr="00881DA0" w:rsidRDefault="005754BE" w:rsidP="005754BE">
      <w:pPr>
        <w:pStyle w:val="ListParagraph"/>
        <w:numPr>
          <w:ilvl w:val="0"/>
          <w:numId w:val="2"/>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Mugambwa</w:t>
      </w:r>
      <w:proofErr w:type="spellEnd"/>
      <w:r>
        <w:rPr>
          <w:rFonts w:cstheme="minorHAnsi"/>
          <w:sz w:val="28"/>
          <w:szCs w:val="28"/>
        </w:rPr>
        <w:t xml:space="preserve"> Harriet </w:t>
      </w:r>
      <w:proofErr w:type="spellStart"/>
      <w:r>
        <w:rPr>
          <w:rFonts w:cstheme="minorHAnsi"/>
          <w:sz w:val="28"/>
          <w:szCs w:val="28"/>
        </w:rPr>
        <w:t>Nganzi</w:t>
      </w:r>
      <w:proofErr w:type="spellEnd"/>
    </w:p>
    <w:p w:rsidR="005754BE" w:rsidRDefault="005754BE" w:rsidP="005754BE">
      <w:pPr>
        <w:pStyle w:val="ListParagraph"/>
        <w:numPr>
          <w:ilvl w:val="0"/>
          <w:numId w:val="2"/>
        </w:numPr>
        <w:spacing w:after="0" w:line="360" w:lineRule="auto"/>
        <w:rPr>
          <w:rFonts w:cstheme="minorHAnsi"/>
          <w:sz w:val="28"/>
          <w:szCs w:val="28"/>
        </w:rPr>
      </w:pPr>
      <w:r w:rsidRPr="00881DA0">
        <w:rPr>
          <w:rFonts w:cstheme="minorHAnsi"/>
          <w:sz w:val="28"/>
          <w:szCs w:val="28"/>
        </w:rPr>
        <w:t xml:space="preserve">Ms. </w:t>
      </w:r>
      <w:r w:rsidR="00D5415C">
        <w:rPr>
          <w:rFonts w:cstheme="minorHAnsi"/>
          <w:sz w:val="28"/>
          <w:szCs w:val="28"/>
        </w:rPr>
        <w:t xml:space="preserve">F. X. </w:t>
      </w:r>
      <w:proofErr w:type="spellStart"/>
      <w:r w:rsidR="00D5415C">
        <w:rPr>
          <w:rFonts w:cstheme="minorHAnsi"/>
          <w:sz w:val="28"/>
          <w:szCs w:val="28"/>
        </w:rPr>
        <w:t>Mubuuke</w:t>
      </w:r>
      <w:proofErr w:type="spellEnd"/>
      <w:r>
        <w:rPr>
          <w:rFonts w:cstheme="minorHAnsi"/>
          <w:sz w:val="28"/>
          <w:szCs w:val="28"/>
        </w:rPr>
        <w:t xml:space="preserve"> </w:t>
      </w:r>
    </w:p>
    <w:p w:rsidR="005754BE" w:rsidRDefault="005754BE" w:rsidP="005754BE">
      <w:pPr>
        <w:jc w:val="center"/>
        <w:rPr>
          <w:rFonts w:cstheme="minorHAnsi"/>
          <w:b/>
          <w:sz w:val="28"/>
          <w:szCs w:val="28"/>
          <w:u w:val="single"/>
        </w:rPr>
      </w:pPr>
      <w:r>
        <w:rPr>
          <w:rFonts w:cstheme="minorHAnsi"/>
          <w:b/>
          <w:sz w:val="28"/>
          <w:szCs w:val="28"/>
          <w:u w:val="single"/>
        </w:rPr>
        <w:t>RULING</w:t>
      </w:r>
    </w:p>
    <w:p w:rsidR="005754BE" w:rsidRDefault="00D5415C" w:rsidP="005754BE">
      <w:pPr>
        <w:jc w:val="both"/>
        <w:rPr>
          <w:sz w:val="28"/>
          <w:szCs w:val="28"/>
        </w:rPr>
      </w:pPr>
      <w:r>
        <w:rPr>
          <w:sz w:val="28"/>
          <w:szCs w:val="28"/>
        </w:rPr>
        <w:t>This application by notice of motion</w:t>
      </w:r>
      <w:r w:rsidR="00CC2EE7">
        <w:rPr>
          <w:sz w:val="28"/>
          <w:szCs w:val="28"/>
        </w:rPr>
        <w:t xml:space="preserve"> under </w:t>
      </w:r>
      <w:r w:rsidR="00CC2EE7">
        <w:rPr>
          <w:b/>
          <w:sz w:val="28"/>
          <w:szCs w:val="28"/>
        </w:rPr>
        <w:t xml:space="preserve">Section 17 of the </w:t>
      </w:r>
      <w:proofErr w:type="spellStart"/>
      <w:r w:rsidR="00CC2EE7">
        <w:rPr>
          <w:b/>
          <w:sz w:val="28"/>
          <w:szCs w:val="28"/>
        </w:rPr>
        <w:t>Labour</w:t>
      </w:r>
      <w:proofErr w:type="spellEnd"/>
      <w:r w:rsidR="00CC2EE7">
        <w:rPr>
          <w:b/>
          <w:sz w:val="28"/>
          <w:szCs w:val="28"/>
        </w:rPr>
        <w:t xml:space="preserve"> Dispute</w:t>
      </w:r>
      <w:r w:rsidR="00E53ABA">
        <w:rPr>
          <w:b/>
          <w:sz w:val="28"/>
          <w:szCs w:val="28"/>
        </w:rPr>
        <w:t>s</w:t>
      </w:r>
      <w:r w:rsidR="00CC2EE7">
        <w:rPr>
          <w:b/>
          <w:sz w:val="28"/>
          <w:szCs w:val="28"/>
        </w:rPr>
        <w:t xml:space="preserve"> (Arbitration and Settlement) Act 2006</w:t>
      </w:r>
      <w:r w:rsidR="008E08B2">
        <w:rPr>
          <w:b/>
          <w:sz w:val="28"/>
          <w:szCs w:val="28"/>
        </w:rPr>
        <w:t xml:space="preserve"> (LADASA)</w:t>
      </w:r>
      <w:r w:rsidR="00CC2EE7">
        <w:rPr>
          <w:b/>
          <w:sz w:val="28"/>
          <w:szCs w:val="28"/>
        </w:rPr>
        <w:t xml:space="preserve"> </w:t>
      </w:r>
      <w:r w:rsidR="00CC2EE7" w:rsidRPr="00CC2EE7">
        <w:rPr>
          <w:sz w:val="28"/>
          <w:szCs w:val="28"/>
        </w:rPr>
        <w:t>seeks for orders that</w:t>
      </w:r>
    </w:p>
    <w:p w:rsidR="00CC2EE7" w:rsidRPr="003E4228" w:rsidRDefault="00CC2EE7" w:rsidP="00CC2EE7">
      <w:pPr>
        <w:pStyle w:val="ListParagraph"/>
        <w:numPr>
          <w:ilvl w:val="0"/>
          <w:numId w:val="9"/>
        </w:numPr>
        <w:jc w:val="both"/>
        <w:rPr>
          <w:sz w:val="28"/>
          <w:szCs w:val="28"/>
        </w:rPr>
      </w:pPr>
      <w:r w:rsidRPr="003E4228">
        <w:rPr>
          <w:sz w:val="28"/>
          <w:szCs w:val="28"/>
        </w:rPr>
        <w:t xml:space="preserve">The ruling of this court in Miscellaneous Application No. </w:t>
      </w:r>
      <w:r w:rsidR="003E4228" w:rsidRPr="003E4228">
        <w:rPr>
          <w:sz w:val="28"/>
          <w:szCs w:val="28"/>
        </w:rPr>
        <w:t>117/2020 be reviewed.</w:t>
      </w:r>
    </w:p>
    <w:p w:rsidR="003E4228" w:rsidRDefault="00862D3A" w:rsidP="00CC2EE7">
      <w:pPr>
        <w:pStyle w:val="ListParagraph"/>
        <w:numPr>
          <w:ilvl w:val="0"/>
          <w:numId w:val="9"/>
        </w:numPr>
        <w:jc w:val="both"/>
        <w:rPr>
          <w:sz w:val="28"/>
          <w:szCs w:val="28"/>
        </w:rPr>
      </w:pPr>
      <w:r>
        <w:rPr>
          <w:sz w:val="28"/>
          <w:szCs w:val="28"/>
        </w:rPr>
        <w:t>The order directing</w:t>
      </w:r>
      <w:r w:rsidR="006859F0">
        <w:rPr>
          <w:sz w:val="28"/>
          <w:szCs w:val="28"/>
        </w:rPr>
        <w:t xml:space="preserve"> the applicant to amend pleadings in labour dispute claim 30/2017 to add the Attorney General</w:t>
      </w:r>
      <w:r w:rsidR="008E08B2">
        <w:rPr>
          <w:sz w:val="28"/>
          <w:szCs w:val="28"/>
        </w:rPr>
        <w:t xml:space="preserve"> as a c</w:t>
      </w:r>
      <w:r w:rsidR="006859F0">
        <w:rPr>
          <w:sz w:val="28"/>
          <w:szCs w:val="28"/>
        </w:rPr>
        <w:t xml:space="preserve">o-defendant be set aside and be </w:t>
      </w:r>
      <w:r w:rsidR="006859F0">
        <w:rPr>
          <w:sz w:val="28"/>
          <w:szCs w:val="28"/>
        </w:rPr>
        <w:lastRenderedPageBreak/>
        <w:t>substituted with an order directing the respondent/claimant</w:t>
      </w:r>
      <w:r w:rsidR="008E08B2">
        <w:rPr>
          <w:sz w:val="28"/>
          <w:szCs w:val="28"/>
        </w:rPr>
        <w:t xml:space="preserve"> in </w:t>
      </w:r>
      <w:proofErr w:type="spellStart"/>
      <w:r w:rsidR="008E08B2">
        <w:rPr>
          <w:sz w:val="28"/>
          <w:szCs w:val="28"/>
        </w:rPr>
        <w:t>labour</w:t>
      </w:r>
      <w:proofErr w:type="spellEnd"/>
      <w:r w:rsidR="008E08B2">
        <w:rPr>
          <w:sz w:val="28"/>
          <w:szCs w:val="28"/>
        </w:rPr>
        <w:t xml:space="preserve"> claim 30/2017 to</w:t>
      </w:r>
      <w:r w:rsidR="006859F0">
        <w:rPr>
          <w:sz w:val="28"/>
          <w:szCs w:val="28"/>
        </w:rPr>
        <w:t xml:space="preserve"> include the Attorney General</w:t>
      </w:r>
      <w:r w:rsidR="008C47C7">
        <w:rPr>
          <w:sz w:val="28"/>
          <w:szCs w:val="28"/>
        </w:rPr>
        <w:t xml:space="preserve"> as co-defendant.</w:t>
      </w:r>
    </w:p>
    <w:p w:rsidR="008C47C7" w:rsidRDefault="008C47C7" w:rsidP="00CC2EE7">
      <w:pPr>
        <w:pStyle w:val="ListParagraph"/>
        <w:numPr>
          <w:ilvl w:val="0"/>
          <w:numId w:val="9"/>
        </w:numPr>
        <w:jc w:val="both"/>
        <w:rPr>
          <w:sz w:val="28"/>
          <w:szCs w:val="28"/>
        </w:rPr>
      </w:pPr>
      <w:r>
        <w:rPr>
          <w:sz w:val="28"/>
          <w:szCs w:val="28"/>
        </w:rPr>
        <w:t xml:space="preserve">The </w:t>
      </w:r>
      <w:r w:rsidR="001E6583">
        <w:rPr>
          <w:sz w:val="28"/>
          <w:szCs w:val="28"/>
        </w:rPr>
        <w:t>costs of</w:t>
      </w:r>
      <w:r>
        <w:rPr>
          <w:sz w:val="28"/>
          <w:szCs w:val="28"/>
        </w:rPr>
        <w:t xml:space="preserve"> this application be provided for.</w:t>
      </w:r>
    </w:p>
    <w:p w:rsidR="008C47C7" w:rsidRDefault="008C47C7" w:rsidP="001E6583">
      <w:pPr>
        <w:pStyle w:val="ListParagraph"/>
        <w:jc w:val="both"/>
        <w:rPr>
          <w:sz w:val="28"/>
          <w:szCs w:val="28"/>
        </w:rPr>
      </w:pPr>
      <w:r>
        <w:rPr>
          <w:sz w:val="28"/>
          <w:szCs w:val="28"/>
        </w:rPr>
        <w:t>The application was supported by an affidavit to which the respondent filed a reply in opposition to the application.</w:t>
      </w:r>
    </w:p>
    <w:p w:rsidR="008C47C7" w:rsidRDefault="008C47C7" w:rsidP="001E6583">
      <w:pPr>
        <w:pStyle w:val="ListParagraph"/>
        <w:jc w:val="both"/>
        <w:rPr>
          <w:sz w:val="28"/>
          <w:szCs w:val="28"/>
        </w:rPr>
      </w:pPr>
      <w:r>
        <w:rPr>
          <w:sz w:val="28"/>
          <w:szCs w:val="28"/>
        </w:rPr>
        <w:t>Both the applicant and respondent filed written submissions in support of their varying positions and cited various legal authorities.</w:t>
      </w:r>
    </w:p>
    <w:p w:rsidR="00AC7176" w:rsidRDefault="00AC7176" w:rsidP="00AC7176">
      <w:pPr>
        <w:jc w:val="both"/>
        <w:rPr>
          <w:sz w:val="28"/>
          <w:szCs w:val="28"/>
        </w:rPr>
      </w:pPr>
      <w:r>
        <w:rPr>
          <w:sz w:val="28"/>
          <w:szCs w:val="28"/>
        </w:rPr>
        <w:t>We have carefully</w:t>
      </w:r>
      <w:r w:rsidR="00DC6E1B">
        <w:rPr>
          <w:sz w:val="28"/>
          <w:szCs w:val="28"/>
        </w:rPr>
        <w:t xml:space="preserve"> perused </w:t>
      </w:r>
      <w:r w:rsidR="00C354B2">
        <w:rPr>
          <w:sz w:val="28"/>
          <w:szCs w:val="28"/>
        </w:rPr>
        <w:t>both the application and the affidavit in support as well as the affidavit in opposition.  We have also perused carefully and internalized the submissions of both counsel.</w:t>
      </w:r>
    </w:p>
    <w:p w:rsidR="00EA17E3" w:rsidRDefault="00EA17E3" w:rsidP="00AC7176">
      <w:pPr>
        <w:jc w:val="both"/>
        <w:rPr>
          <w:sz w:val="28"/>
          <w:szCs w:val="28"/>
        </w:rPr>
      </w:pPr>
      <w:r>
        <w:rPr>
          <w:sz w:val="28"/>
          <w:szCs w:val="28"/>
        </w:rPr>
        <w:t>The gist of the case for the applicant is t</w:t>
      </w:r>
      <w:r w:rsidR="008E08B2">
        <w:rPr>
          <w:sz w:val="28"/>
          <w:szCs w:val="28"/>
        </w:rPr>
        <w:t>hat there is an error on the fac</w:t>
      </w:r>
      <w:r>
        <w:rPr>
          <w:sz w:val="28"/>
          <w:szCs w:val="28"/>
        </w:rPr>
        <w:t>e of the record since the Attorney</w:t>
      </w:r>
      <w:r w:rsidR="008E08B2">
        <w:rPr>
          <w:sz w:val="28"/>
          <w:szCs w:val="28"/>
        </w:rPr>
        <w:t xml:space="preserve"> General</w:t>
      </w:r>
      <w:r>
        <w:rPr>
          <w:sz w:val="28"/>
          <w:szCs w:val="28"/>
        </w:rPr>
        <w:t xml:space="preserve"> can only be added as a co-defendant</w:t>
      </w:r>
      <w:r w:rsidR="008E08B2">
        <w:rPr>
          <w:sz w:val="28"/>
          <w:szCs w:val="28"/>
        </w:rPr>
        <w:t xml:space="preserve"> through amending the respondent’s</w:t>
      </w:r>
      <w:r>
        <w:rPr>
          <w:sz w:val="28"/>
          <w:szCs w:val="28"/>
        </w:rPr>
        <w:t xml:space="preserve"> memorandum of claim citing the Attorney general as co-defendant.  Counsel argued that the order by this court to add the Attorney General as a co-defendant can only be implemented by the respondent.</w:t>
      </w:r>
    </w:p>
    <w:p w:rsidR="00EA17E3" w:rsidRDefault="00EA17E3" w:rsidP="00AC7176">
      <w:pPr>
        <w:jc w:val="both"/>
        <w:rPr>
          <w:sz w:val="28"/>
          <w:szCs w:val="28"/>
        </w:rPr>
      </w:pPr>
      <w:r>
        <w:rPr>
          <w:sz w:val="28"/>
          <w:szCs w:val="28"/>
        </w:rPr>
        <w:t xml:space="preserve">It was the respondent’s case that an application of this nature could not be made under </w:t>
      </w:r>
      <w:r>
        <w:rPr>
          <w:b/>
          <w:sz w:val="28"/>
          <w:szCs w:val="28"/>
        </w:rPr>
        <w:t>S</w:t>
      </w:r>
      <w:r w:rsidR="00DC506F">
        <w:rPr>
          <w:b/>
          <w:sz w:val="28"/>
          <w:szCs w:val="28"/>
        </w:rPr>
        <w:t>ection 17 of the LADA</w:t>
      </w:r>
      <w:r w:rsidRPr="00EA17E3">
        <w:rPr>
          <w:b/>
          <w:sz w:val="28"/>
          <w:szCs w:val="28"/>
        </w:rPr>
        <w:t>SA</w:t>
      </w:r>
      <w:r>
        <w:rPr>
          <w:sz w:val="28"/>
          <w:szCs w:val="28"/>
        </w:rPr>
        <w:t xml:space="preserve"> and that this Section of the law did not support the application which accordin</w:t>
      </w:r>
      <w:r w:rsidR="008E08B2">
        <w:rPr>
          <w:sz w:val="28"/>
          <w:szCs w:val="28"/>
        </w:rPr>
        <w:t>g to counsel was not fit for review</w:t>
      </w:r>
      <w:r>
        <w:rPr>
          <w:sz w:val="28"/>
          <w:szCs w:val="28"/>
        </w:rPr>
        <w:t>.  Counsel argued that the respondent</w:t>
      </w:r>
      <w:r w:rsidR="00E53ABA">
        <w:rPr>
          <w:sz w:val="28"/>
          <w:szCs w:val="28"/>
        </w:rPr>
        <w:t>s</w:t>
      </w:r>
      <w:r>
        <w:rPr>
          <w:sz w:val="28"/>
          <w:szCs w:val="28"/>
        </w:rPr>
        <w:t xml:space="preserve"> could not be order</w:t>
      </w:r>
      <w:r w:rsidR="00F30491">
        <w:rPr>
          <w:sz w:val="28"/>
          <w:szCs w:val="28"/>
        </w:rPr>
        <w:t>ed against their wishes to amend their pleading</w:t>
      </w:r>
      <w:r w:rsidR="00D95950">
        <w:rPr>
          <w:sz w:val="28"/>
          <w:szCs w:val="28"/>
        </w:rPr>
        <w:t>s</w:t>
      </w:r>
      <w:r w:rsidR="00F30491">
        <w:rPr>
          <w:sz w:val="28"/>
          <w:szCs w:val="28"/>
        </w:rPr>
        <w:t>.</w:t>
      </w:r>
    </w:p>
    <w:p w:rsidR="005754BE" w:rsidRDefault="00D95950" w:rsidP="005754BE">
      <w:pPr>
        <w:spacing w:after="0" w:line="360" w:lineRule="auto"/>
        <w:ind w:left="90"/>
        <w:jc w:val="both"/>
        <w:rPr>
          <w:sz w:val="28"/>
          <w:szCs w:val="28"/>
        </w:rPr>
      </w:pPr>
      <w:r>
        <w:rPr>
          <w:b/>
          <w:sz w:val="28"/>
          <w:szCs w:val="28"/>
        </w:rPr>
        <w:t>S</w:t>
      </w:r>
      <w:r w:rsidR="008E08B2">
        <w:rPr>
          <w:b/>
          <w:sz w:val="28"/>
          <w:szCs w:val="28"/>
        </w:rPr>
        <w:t>ection 17 of the LADA</w:t>
      </w:r>
      <w:r w:rsidRPr="00EA17E3">
        <w:rPr>
          <w:b/>
          <w:sz w:val="28"/>
          <w:szCs w:val="28"/>
        </w:rPr>
        <w:t>SA</w:t>
      </w:r>
      <w:r>
        <w:rPr>
          <w:b/>
          <w:sz w:val="28"/>
          <w:szCs w:val="28"/>
        </w:rPr>
        <w:t xml:space="preserve"> Act 2006</w:t>
      </w:r>
      <w:r>
        <w:rPr>
          <w:sz w:val="28"/>
          <w:szCs w:val="28"/>
        </w:rPr>
        <w:t xml:space="preserve"> provides</w:t>
      </w:r>
    </w:p>
    <w:p w:rsidR="00D95950" w:rsidRDefault="00D95950" w:rsidP="00D95950">
      <w:pPr>
        <w:spacing w:after="0" w:line="360" w:lineRule="auto"/>
        <w:ind w:left="720"/>
        <w:jc w:val="both"/>
        <w:rPr>
          <w:sz w:val="28"/>
          <w:szCs w:val="28"/>
        </w:rPr>
      </w:pPr>
      <w:r w:rsidRPr="00D95950">
        <w:rPr>
          <w:b/>
          <w:sz w:val="28"/>
          <w:szCs w:val="28"/>
        </w:rPr>
        <w:t>“Where any question arises as to</w:t>
      </w:r>
      <w:r w:rsidR="008E08B2">
        <w:rPr>
          <w:b/>
          <w:sz w:val="28"/>
          <w:szCs w:val="28"/>
        </w:rPr>
        <w:t xml:space="preserve"> the interpretation of any Award</w:t>
      </w:r>
      <w:r w:rsidR="00E53ABA">
        <w:rPr>
          <w:b/>
          <w:sz w:val="28"/>
          <w:szCs w:val="28"/>
        </w:rPr>
        <w:t xml:space="preserve"> of the Industrial Court within </w:t>
      </w:r>
      <w:r w:rsidR="00E53ABA" w:rsidRPr="00D95950">
        <w:rPr>
          <w:b/>
          <w:sz w:val="28"/>
          <w:szCs w:val="28"/>
        </w:rPr>
        <w:t>twenty-one</w:t>
      </w:r>
      <w:r w:rsidRPr="00D95950">
        <w:rPr>
          <w:b/>
          <w:sz w:val="28"/>
          <w:szCs w:val="28"/>
        </w:rPr>
        <w:t xml:space="preserve"> days from the effective date of the Award or where new and relevant facts concerning the dispute materialize, a party to the Award may apply to the Industrial Court to review its decision on a question of Interpretation or in the light of the new facts.”</w:t>
      </w:r>
    </w:p>
    <w:p w:rsidR="00D95950" w:rsidRDefault="00D95950" w:rsidP="00D95950">
      <w:pPr>
        <w:spacing w:after="0" w:line="360" w:lineRule="auto"/>
        <w:jc w:val="both"/>
        <w:rPr>
          <w:sz w:val="28"/>
          <w:szCs w:val="28"/>
        </w:rPr>
      </w:pPr>
      <w:r>
        <w:rPr>
          <w:sz w:val="28"/>
          <w:szCs w:val="28"/>
        </w:rPr>
        <w:lastRenderedPageBreak/>
        <w:t xml:space="preserve">We agree with the respondent that </w:t>
      </w:r>
      <w:r>
        <w:rPr>
          <w:b/>
          <w:sz w:val="28"/>
          <w:szCs w:val="28"/>
        </w:rPr>
        <w:t xml:space="preserve">Section 17 of the LADASA </w:t>
      </w:r>
      <w:r w:rsidRPr="004709A2">
        <w:rPr>
          <w:sz w:val="28"/>
          <w:szCs w:val="28"/>
        </w:rPr>
        <w:t>is in respect to Interpretation of an Award of this court where new and relevant facts</w:t>
      </w:r>
      <w:r w:rsidR="00E53ABA">
        <w:rPr>
          <w:sz w:val="28"/>
          <w:szCs w:val="28"/>
        </w:rPr>
        <w:t xml:space="preserve"> materialized after the Award was</w:t>
      </w:r>
      <w:r w:rsidRPr="004709A2">
        <w:rPr>
          <w:sz w:val="28"/>
          <w:szCs w:val="28"/>
        </w:rPr>
        <w:t xml:space="preserve"> made.</w:t>
      </w:r>
    </w:p>
    <w:p w:rsidR="004709A2" w:rsidRDefault="004709A2" w:rsidP="00D95950">
      <w:pPr>
        <w:spacing w:after="0" w:line="360" w:lineRule="auto"/>
        <w:jc w:val="both"/>
        <w:rPr>
          <w:sz w:val="28"/>
          <w:szCs w:val="28"/>
        </w:rPr>
      </w:pPr>
      <w:r>
        <w:rPr>
          <w:sz w:val="28"/>
          <w:szCs w:val="28"/>
        </w:rPr>
        <w:t>We form the strong opinion that an Award of the court must be distinguished from a ruling of the court.  Whereas a ruling of the court may not be necessarily an end by itself, an Award of the court is necessarily an end of litigation</w:t>
      </w:r>
      <w:r w:rsidR="00FF3E13">
        <w:rPr>
          <w:sz w:val="28"/>
          <w:szCs w:val="28"/>
        </w:rPr>
        <w:t xml:space="preserve"> on the subject and unlike</w:t>
      </w:r>
      <w:r>
        <w:rPr>
          <w:sz w:val="28"/>
          <w:szCs w:val="28"/>
        </w:rPr>
        <w:t xml:space="preserve"> a ruling</w:t>
      </w:r>
      <w:r w:rsidR="00FF3E13">
        <w:rPr>
          <w:sz w:val="28"/>
          <w:szCs w:val="28"/>
        </w:rPr>
        <w:t xml:space="preserve"> it always originates extraction</w:t>
      </w:r>
      <w:r>
        <w:rPr>
          <w:sz w:val="28"/>
          <w:szCs w:val="28"/>
        </w:rPr>
        <w:t xml:space="preserve"> of a decree which is executable.  Ordinarily a ruling is an answer to intermediate questions that arise before the end of litigation.</w:t>
      </w:r>
    </w:p>
    <w:p w:rsidR="004709A2" w:rsidRDefault="004709A2" w:rsidP="00D95950">
      <w:pPr>
        <w:spacing w:after="0" w:line="360" w:lineRule="auto"/>
        <w:jc w:val="both"/>
        <w:rPr>
          <w:sz w:val="28"/>
          <w:szCs w:val="28"/>
        </w:rPr>
      </w:pPr>
    </w:p>
    <w:p w:rsidR="004709A2" w:rsidRDefault="00D63AAA" w:rsidP="00D95950">
      <w:pPr>
        <w:spacing w:after="0" w:line="360" w:lineRule="auto"/>
        <w:jc w:val="both"/>
        <w:rPr>
          <w:sz w:val="28"/>
          <w:szCs w:val="28"/>
        </w:rPr>
      </w:pPr>
      <w:bookmarkStart w:id="0" w:name="_GoBack"/>
      <w:bookmarkEnd w:id="0"/>
      <w:r>
        <w:rPr>
          <w:sz w:val="28"/>
          <w:szCs w:val="28"/>
        </w:rPr>
        <w:t>Consequently,</w:t>
      </w:r>
      <w:r w:rsidR="004709A2">
        <w:rPr>
          <w:sz w:val="28"/>
          <w:szCs w:val="28"/>
        </w:rPr>
        <w:t xml:space="preserve"> we do not agree with the applicant that every ruling is an Award of the court capable of raising interpretation issues constituting a review as spelt out under </w:t>
      </w:r>
      <w:r w:rsidR="00DC506F">
        <w:rPr>
          <w:b/>
          <w:sz w:val="28"/>
          <w:szCs w:val="28"/>
        </w:rPr>
        <w:t>Section 17 of the LADA</w:t>
      </w:r>
      <w:r w:rsidR="004709A2" w:rsidRPr="004709A2">
        <w:rPr>
          <w:b/>
          <w:sz w:val="28"/>
          <w:szCs w:val="28"/>
        </w:rPr>
        <w:t>SA</w:t>
      </w:r>
      <w:r w:rsidR="004709A2">
        <w:rPr>
          <w:sz w:val="28"/>
          <w:szCs w:val="28"/>
        </w:rPr>
        <w:t>.</w:t>
      </w:r>
    </w:p>
    <w:p w:rsidR="004709A2" w:rsidRDefault="004709A2" w:rsidP="00D95950">
      <w:pPr>
        <w:spacing w:after="0" w:line="360" w:lineRule="auto"/>
        <w:jc w:val="both"/>
        <w:rPr>
          <w:sz w:val="28"/>
          <w:szCs w:val="28"/>
        </w:rPr>
      </w:pPr>
      <w:r>
        <w:rPr>
          <w:sz w:val="28"/>
          <w:szCs w:val="28"/>
        </w:rPr>
        <w:t xml:space="preserve">The ruling in miscellaneous application 117/2021 that allowed joining the Attorney General was not a final order constituting an Award of this court.  It was an answer to the question whether or not the </w:t>
      </w:r>
      <w:r w:rsidR="000712EB">
        <w:rPr>
          <w:sz w:val="28"/>
          <w:szCs w:val="28"/>
        </w:rPr>
        <w:t>Attorney General could be joined as a co-defendant before litigation of the suit between the parties as earlier filed in court could proceed. The ruling was not an end in itself since the suit was alive with or without the ruling.</w:t>
      </w:r>
    </w:p>
    <w:p w:rsidR="000712EB" w:rsidRDefault="00FF3E13" w:rsidP="00D95950">
      <w:pPr>
        <w:spacing w:after="0" w:line="360" w:lineRule="auto"/>
        <w:jc w:val="both"/>
        <w:rPr>
          <w:sz w:val="28"/>
          <w:szCs w:val="28"/>
        </w:rPr>
      </w:pPr>
      <w:r>
        <w:rPr>
          <w:sz w:val="28"/>
          <w:szCs w:val="28"/>
        </w:rPr>
        <w:t>In any case we do</w:t>
      </w:r>
      <w:r w:rsidR="000712EB">
        <w:rPr>
          <w:sz w:val="28"/>
          <w:szCs w:val="28"/>
        </w:rPr>
        <w:t xml:space="preserve"> not find any aspects of interpretation of the ruling in Misc. Appl. 117/2020 which clearly gave leave to the applic</w:t>
      </w:r>
      <w:r>
        <w:rPr>
          <w:sz w:val="28"/>
          <w:szCs w:val="28"/>
        </w:rPr>
        <w:t>ant</w:t>
      </w:r>
      <w:r w:rsidR="000712EB">
        <w:rPr>
          <w:sz w:val="28"/>
          <w:szCs w:val="28"/>
        </w:rPr>
        <w:t xml:space="preserve"> to join the Attorney General as co-defendant.  The fact that the applicant was mistaken that it could not in law be able to amend its pleading</w:t>
      </w:r>
      <w:r w:rsidR="00E53ABA">
        <w:rPr>
          <w:sz w:val="28"/>
          <w:szCs w:val="28"/>
        </w:rPr>
        <w:t>s</w:t>
      </w:r>
      <w:r w:rsidR="000712EB">
        <w:rPr>
          <w:sz w:val="28"/>
          <w:szCs w:val="28"/>
        </w:rPr>
        <w:t xml:space="preserve"> to include the Attorney General as co-defendant, in our view does not call for review of the court’s order.  Neither does it form a mistake on the face of the record.</w:t>
      </w:r>
    </w:p>
    <w:p w:rsidR="00CD6A1F" w:rsidRDefault="00CD6A1F" w:rsidP="00D95950">
      <w:pPr>
        <w:spacing w:after="0" w:line="360" w:lineRule="auto"/>
        <w:jc w:val="both"/>
        <w:rPr>
          <w:sz w:val="28"/>
          <w:szCs w:val="28"/>
        </w:rPr>
      </w:pPr>
      <w:r>
        <w:rPr>
          <w:sz w:val="28"/>
          <w:szCs w:val="28"/>
        </w:rPr>
        <w:lastRenderedPageBreak/>
        <w:t>Most importantly, there is nothing further from</w:t>
      </w:r>
      <w:r w:rsidR="00FF3E13">
        <w:rPr>
          <w:sz w:val="28"/>
          <w:szCs w:val="28"/>
        </w:rPr>
        <w:t xml:space="preserve"> the truth and the law that a</w:t>
      </w:r>
      <w:r>
        <w:rPr>
          <w:sz w:val="28"/>
          <w:szCs w:val="28"/>
        </w:rPr>
        <w:t xml:space="preserve"> court can order amendment of pleadings by a party against such party’s wishes, especially when it is by adding a co-defendant.  A party</w:t>
      </w:r>
      <w:r w:rsidR="00E53ABA">
        <w:rPr>
          <w:sz w:val="28"/>
          <w:szCs w:val="28"/>
        </w:rPr>
        <w:t xml:space="preserve"> files pleadings against another</w:t>
      </w:r>
      <w:r>
        <w:rPr>
          <w:sz w:val="28"/>
          <w:szCs w:val="28"/>
        </w:rPr>
        <w:t xml:space="preserve"> party only on the basis that such party has </w:t>
      </w:r>
      <w:r w:rsidR="00FF3E13">
        <w:rPr>
          <w:sz w:val="28"/>
          <w:szCs w:val="28"/>
        </w:rPr>
        <w:t>a cause of action against the oth</w:t>
      </w:r>
      <w:r>
        <w:rPr>
          <w:sz w:val="28"/>
          <w:szCs w:val="28"/>
        </w:rPr>
        <w:t xml:space="preserve">er party.  </w:t>
      </w:r>
    </w:p>
    <w:p w:rsidR="00CD6A1F" w:rsidRDefault="00CD6A1F" w:rsidP="00D95950">
      <w:pPr>
        <w:spacing w:after="0" w:line="360" w:lineRule="auto"/>
        <w:jc w:val="both"/>
        <w:rPr>
          <w:sz w:val="28"/>
          <w:szCs w:val="28"/>
        </w:rPr>
      </w:pPr>
      <w:r>
        <w:rPr>
          <w:sz w:val="28"/>
          <w:szCs w:val="28"/>
        </w:rPr>
        <w:t xml:space="preserve">It would be outrageous of the court if it were to assume </w:t>
      </w:r>
      <w:r w:rsidR="00FF3E13">
        <w:rPr>
          <w:sz w:val="28"/>
          <w:szCs w:val="28"/>
        </w:rPr>
        <w:t>that one</w:t>
      </w:r>
      <w:r>
        <w:rPr>
          <w:sz w:val="28"/>
          <w:szCs w:val="28"/>
        </w:rPr>
        <w:t xml:space="preserve"> party has a cause of action against the other and</w:t>
      </w:r>
      <w:r w:rsidR="00FF3E13">
        <w:rPr>
          <w:sz w:val="28"/>
          <w:szCs w:val="28"/>
        </w:rPr>
        <w:t xml:space="preserve"> for that matter cause filing of</w:t>
      </w:r>
      <w:r>
        <w:rPr>
          <w:sz w:val="28"/>
          <w:szCs w:val="28"/>
        </w:rPr>
        <w:t xml:space="preserve"> a suit against the said party.</w:t>
      </w:r>
    </w:p>
    <w:p w:rsidR="00085602" w:rsidRDefault="00085602" w:rsidP="00D95950">
      <w:pPr>
        <w:spacing w:after="0" w:line="360" w:lineRule="auto"/>
        <w:jc w:val="both"/>
        <w:rPr>
          <w:sz w:val="28"/>
          <w:szCs w:val="28"/>
        </w:rPr>
      </w:pPr>
      <w:r>
        <w:rPr>
          <w:sz w:val="28"/>
          <w:szCs w:val="28"/>
        </w:rPr>
        <w:t xml:space="preserve">Consequently we agree with the respondent that the court cannot be moved to issue orders that force the respondents to amend their memorandum of claim and or to add a defendant to their claim against the respondents’ wishes.  </w:t>
      </w:r>
    </w:p>
    <w:p w:rsidR="00085602" w:rsidRDefault="00085602" w:rsidP="00D95950">
      <w:pPr>
        <w:spacing w:after="0" w:line="360" w:lineRule="auto"/>
        <w:jc w:val="both"/>
        <w:rPr>
          <w:sz w:val="28"/>
          <w:szCs w:val="28"/>
        </w:rPr>
      </w:pPr>
      <w:r>
        <w:rPr>
          <w:sz w:val="28"/>
          <w:szCs w:val="28"/>
        </w:rPr>
        <w:t>The application fails with no orders as to costs.</w:t>
      </w:r>
    </w:p>
    <w:p w:rsidR="00085602" w:rsidRDefault="00085602" w:rsidP="00D95950">
      <w:pPr>
        <w:spacing w:after="0" w:line="360" w:lineRule="auto"/>
        <w:jc w:val="both"/>
        <w:rPr>
          <w:sz w:val="28"/>
          <w:szCs w:val="28"/>
        </w:rPr>
      </w:pPr>
    </w:p>
    <w:p w:rsidR="005754BE" w:rsidRPr="00881DA0" w:rsidRDefault="005754BE" w:rsidP="005754BE">
      <w:pPr>
        <w:spacing w:after="0" w:line="360" w:lineRule="auto"/>
        <w:ind w:left="90"/>
        <w:jc w:val="both"/>
        <w:rPr>
          <w:rFonts w:cstheme="minorHAnsi"/>
          <w:b/>
          <w:sz w:val="28"/>
          <w:szCs w:val="28"/>
          <w:u w:val="single"/>
        </w:rPr>
      </w:pPr>
      <w:r>
        <w:rPr>
          <w:rFonts w:cstheme="minorHAnsi"/>
          <w:b/>
          <w:sz w:val="28"/>
          <w:szCs w:val="28"/>
          <w:u w:val="single"/>
        </w:rPr>
        <w:t>Delivered &amp; Signed by:</w:t>
      </w:r>
    </w:p>
    <w:p w:rsidR="00D5415C" w:rsidRPr="00881DA0" w:rsidRDefault="00D5415C" w:rsidP="00D5415C">
      <w:pPr>
        <w:pStyle w:val="ListParagraph"/>
        <w:numPr>
          <w:ilvl w:val="0"/>
          <w:numId w:val="6"/>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r>
      <w:r>
        <w:rPr>
          <w:rFonts w:cstheme="minorHAnsi"/>
          <w:sz w:val="28"/>
          <w:szCs w:val="28"/>
        </w:rPr>
        <w:tab/>
        <w:t>…………………….</w:t>
      </w:r>
    </w:p>
    <w:p w:rsidR="00D5415C" w:rsidRPr="00881DA0" w:rsidRDefault="00D5415C" w:rsidP="00D5415C">
      <w:pPr>
        <w:pStyle w:val="ListParagraph"/>
        <w:numPr>
          <w:ilvl w:val="0"/>
          <w:numId w:val="6"/>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r>
      <w:r>
        <w:rPr>
          <w:rFonts w:cstheme="minorHAnsi"/>
          <w:sz w:val="28"/>
          <w:szCs w:val="28"/>
        </w:rPr>
        <w:tab/>
        <w:t>…………………….</w:t>
      </w:r>
    </w:p>
    <w:p w:rsidR="00D5415C" w:rsidRPr="00881DA0" w:rsidRDefault="00D5415C" w:rsidP="00D5415C">
      <w:pPr>
        <w:spacing w:after="0" w:line="360" w:lineRule="auto"/>
        <w:ind w:left="90"/>
        <w:jc w:val="both"/>
        <w:rPr>
          <w:rFonts w:cstheme="minorHAnsi"/>
          <w:sz w:val="28"/>
          <w:szCs w:val="28"/>
        </w:rPr>
      </w:pPr>
    </w:p>
    <w:p w:rsidR="00D5415C" w:rsidRPr="00881DA0" w:rsidRDefault="00D5415C" w:rsidP="00D5415C">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D5415C" w:rsidRPr="00881DA0" w:rsidRDefault="00D5415C" w:rsidP="00D5415C">
      <w:pPr>
        <w:pStyle w:val="ListParagraph"/>
        <w:numPr>
          <w:ilvl w:val="0"/>
          <w:numId w:val="8"/>
        </w:numPr>
        <w:spacing w:after="0" w:line="360" w:lineRule="auto"/>
        <w:rPr>
          <w:rFonts w:cstheme="minorHAnsi"/>
          <w:sz w:val="28"/>
          <w:szCs w:val="28"/>
        </w:rPr>
      </w:pPr>
      <w:r w:rsidRPr="00881DA0">
        <w:rPr>
          <w:rFonts w:cstheme="minorHAnsi"/>
          <w:sz w:val="28"/>
          <w:szCs w:val="28"/>
        </w:rPr>
        <w:t xml:space="preserve">Mr. </w:t>
      </w:r>
      <w:proofErr w:type="spellStart"/>
      <w:r>
        <w:rPr>
          <w:rFonts w:cstheme="minorHAnsi"/>
          <w:sz w:val="28"/>
          <w:szCs w:val="28"/>
        </w:rPr>
        <w:t>Ebyau</w:t>
      </w:r>
      <w:proofErr w:type="spellEnd"/>
      <w:r>
        <w:rPr>
          <w:rFonts w:cstheme="minorHAnsi"/>
          <w:sz w:val="28"/>
          <w:szCs w:val="28"/>
        </w:rPr>
        <w:t xml:space="preserve"> Fidel</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D5415C" w:rsidRPr="00881DA0" w:rsidRDefault="00D5415C" w:rsidP="00D5415C">
      <w:pPr>
        <w:pStyle w:val="ListParagraph"/>
        <w:numPr>
          <w:ilvl w:val="0"/>
          <w:numId w:val="8"/>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Mugambwa</w:t>
      </w:r>
      <w:proofErr w:type="spellEnd"/>
      <w:r>
        <w:rPr>
          <w:rFonts w:cstheme="minorHAnsi"/>
          <w:sz w:val="28"/>
          <w:szCs w:val="28"/>
        </w:rPr>
        <w:t xml:space="preserve"> Harriet </w:t>
      </w:r>
      <w:proofErr w:type="spellStart"/>
      <w:r>
        <w:rPr>
          <w:rFonts w:cstheme="minorHAnsi"/>
          <w:sz w:val="28"/>
          <w:szCs w:val="28"/>
        </w:rPr>
        <w:t>Nganzi</w:t>
      </w:r>
      <w:proofErr w:type="spellEnd"/>
      <w:r>
        <w:rPr>
          <w:rFonts w:cstheme="minorHAnsi"/>
          <w:sz w:val="28"/>
          <w:szCs w:val="28"/>
        </w:rPr>
        <w:tab/>
      </w:r>
      <w:r>
        <w:rPr>
          <w:rFonts w:cstheme="minorHAnsi"/>
          <w:sz w:val="28"/>
          <w:szCs w:val="28"/>
        </w:rPr>
        <w:tab/>
        <w:t>…………………….</w:t>
      </w:r>
    </w:p>
    <w:p w:rsidR="00D5415C" w:rsidRDefault="00D5415C" w:rsidP="00D5415C">
      <w:pPr>
        <w:pStyle w:val="ListParagraph"/>
        <w:numPr>
          <w:ilvl w:val="0"/>
          <w:numId w:val="8"/>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F. X. </w:t>
      </w:r>
      <w:proofErr w:type="spellStart"/>
      <w:r>
        <w:rPr>
          <w:rFonts w:cstheme="minorHAnsi"/>
          <w:sz w:val="28"/>
          <w:szCs w:val="28"/>
        </w:rPr>
        <w:t>Mubuuke</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5754BE" w:rsidRPr="00D04413" w:rsidRDefault="00667C0F" w:rsidP="005754BE">
      <w:pPr>
        <w:spacing w:after="0" w:line="360" w:lineRule="auto"/>
        <w:rPr>
          <w:rFonts w:cstheme="minorHAnsi"/>
          <w:sz w:val="28"/>
          <w:szCs w:val="28"/>
        </w:rPr>
      </w:pPr>
      <w:r>
        <w:rPr>
          <w:rFonts w:cstheme="minorHAnsi"/>
          <w:sz w:val="28"/>
          <w:szCs w:val="28"/>
        </w:rPr>
        <w:t>Dated: 14/05/2021</w:t>
      </w:r>
    </w:p>
    <w:p w:rsidR="005754BE" w:rsidRPr="00A37FF8" w:rsidRDefault="005754BE" w:rsidP="005754BE">
      <w:pPr>
        <w:ind w:left="720"/>
        <w:jc w:val="both"/>
        <w:rPr>
          <w:rFonts w:cstheme="minorHAnsi"/>
          <w:sz w:val="28"/>
          <w:szCs w:val="28"/>
        </w:rPr>
      </w:pPr>
    </w:p>
    <w:p w:rsidR="00190BA9" w:rsidRDefault="00190BA9"/>
    <w:sectPr w:rsidR="00190B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A4" w:rsidRDefault="002920A4" w:rsidP="00E53ABA">
      <w:pPr>
        <w:spacing w:after="0" w:line="240" w:lineRule="auto"/>
      </w:pPr>
      <w:r>
        <w:separator/>
      </w:r>
    </w:p>
  </w:endnote>
  <w:endnote w:type="continuationSeparator" w:id="0">
    <w:p w:rsidR="002920A4" w:rsidRDefault="002920A4" w:rsidP="00E5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089211"/>
      <w:docPartObj>
        <w:docPartGallery w:val="Page Numbers (Bottom of Page)"/>
        <w:docPartUnique/>
      </w:docPartObj>
    </w:sdtPr>
    <w:sdtEndPr>
      <w:rPr>
        <w:noProof/>
      </w:rPr>
    </w:sdtEndPr>
    <w:sdtContent>
      <w:p w:rsidR="00E53ABA" w:rsidRDefault="00E53ABA">
        <w:pPr>
          <w:pStyle w:val="Footer"/>
          <w:jc w:val="center"/>
        </w:pPr>
        <w:r>
          <w:fldChar w:fldCharType="begin"/>
        </w:r>
        <w:r>
          <w:instrText xml:space="preserve"> PAGE   \* MERGEFORMAT </w:instrText>
        </w:r>
        <w:r>
          <w:fldChar w:fldCharType="separate"/>
        </w:r>
        <w:r w:rsidR="00D63AAA">
          <w:rPr>
            <w:noProof/>
          </w:rPr>
          <w:t>4</w:t>
        </w:r>
        <w:r>
          <w:rPr>
            <w:noProof/>
          </w:rPr>
          <w:fldChar w:fldCharType="end"/>
        </w:r>
      </w:p>
    </w:sdtContent>
  </w:sdt>
  <w:p w:rsidR="00E53ABA" w:rsidRDefault="00E53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A4" w:rsidRDefault="002920A4" w:rsidP="00E53ABA">
      <w:pPr>
        <w:spacing w:after="0" w:line="240" w:lineRule="auto"/>
      </w:pPr>
      <w:r>
        <w:separator/>
      </w:r>
    </w:p>
  </w:footnote>
  <w:footnote w:type="continuationSeparator" w:id="0">
    <w:p w:rsidR="002920A4" w:rsidRDefault="002920A4" w:rsidP="00E5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4A4"/>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493F58"/>
    <w:multiLevelType w:val="hybridMultilevel"/>
    <w:tmpl w:val="BDA2A536"/>
    <w:lvl w:ilvl="0" w:tplc="9B742C64">
      <w:start w:val="1"/>
      <w:numFmt w:val="decimal"/>
      <w:lvlText w:val="%1."/>
      <w:lvlJc w:val="left"/>
      <w:pPr>
        <w:ind w:left="54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B25F6B"/>
    <w:multiLevelType w:val="hybridMultilevel"/>
    <w:tmpl w:val="53A67A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C7A3A13"/>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B51770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614AAC"/>
    <w:multiLevelType w:val="hybridMultilevel"/>
    <w:tmpl w:val="1CD0A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E"/>
    <w:rsid w:val="000712EB"/>
    <w:rsid w:val="00085602"/>
    <w:rsid w:val="00190BA9"/>
    <w:rsid w:val="001E6583"/>
    <w:rsid w:val="002920A4"/>
    <w:rsid w:val="00360723"/>
    <w:rsid w:val="003E4228"/>
    <w:rsid w:val="004709A2"/>
    <w:rsid w:val="005754BE"/>
    <w:rsid w:val="00667C0F"/>
    <w:rsid w:val="006859F0"/>
    <w:rsid w:val="00700ABA"/>
    <w:rsid w:val="00850A13"/>
    <w:rsid w:val="00862D3A"/>
    <w:rsid w:val="008C47C7"/>
    <w:rsid w:val="008E08B2"/>
    <w:rsid w:val="00A8031D"/>
    <w:rsid w:val="00AC7176"/>
    <w:rsid w:val="00B274E1"/>
    <w:rsid w:val="00C354B2"/>
    <w:rsid w:val="00C46420"/>
    <w:rsid w:val="00C7593F"/>
    <w:rsid w:val="00CC2EE7"/>
    <w:rsid w:val="00CD6A1F"/>
    <w:rsid w:val="00D5415C"/>
    <w:rsid w:val="00D63AAA"/>
    <w:rsid w:val="00D95950"/>
    <w:rsid w:val="00DC506F"/>
    <w:rsid w:val="00DC6E1B"/>
    <w:rsid w:val="00E53ABA"/>
    <w:rsid w:val="00EA17E3"/>
    <w:rsid w:val="00F30491"/>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012B"/>
  <w15:chartTrackingRefBased/>
  <w15:docId w15:val="{A09BAF7E-A1BA-42BF-9A26-4C5BEC12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BE"/>
    <w:pPr>
      <w:ind w:left="720"/>
      <w:contextualSpacing/>
    </w:pPr>
  </w:style>
  <w:style w:type="paragraph" w:styleId="Header">
    <w:name w:val="header"/>
    <w:basedOn w:val="Normal"/>
    <w:link w:val="HeaderChar"/>
    <w:uiPriority w:val="99"/>
    <w:unhideWhenUsed/>
    <w:rsid w:val="00E53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BA"/>
    <w:rPr>
      <w:rFonts w:eastAsiaTheme="minorEastAsia"/>
    </w:rPr>
  </w:style>
  <w:style w:type="paragraph" w:styleId="Footer">
    <w:name w:val="footer"/>
    <w:basedOn w:val="Normal"/>
    <w:link w:val="FooterChar"/>
    <w:uiPriority w:val="99"/>
    <w:unhideWhenUsed/>
    <w:rsid w:val="00E53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7</cp:revision>
  <dcterms:created xsi:type="dcterms:W3CDTF">2021-05-07T14:20:00Z</dcterms:created>
  <dcterms:modified xsi:type="dcterms:W3CDTF">2021-05-14T10:33:00Z</dcterms:modified>
</cp:coreProperties>
</file>