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4D" w:rsidRPr="008E7ABC" w:rsidRDefault="0048684D" w:rsidP="0048684D">
      <w:pPr>
        <w:spacing w:after="0"/>
        <w:ind w:left="90"/>
        <w:jc w:val="center"/>
        <w:rPr>
          <w:rFonts w:cstheme="minorHAnsi"/>
          <w:b/>
          <w:sz w:val="28"/>
          <w:szCs w:val="28"/>
        </w:rPr>
      </w:pPr>
      <w:r w:rsidRPr="008E7ABC">
        <w:rPr>
          <w:rFonts w:cstheme="minorHAnsi"/>
          <w:b/>
          <w:sz w:val="28"/>
          <w:szCs w:val="28"/>
        </w:rPr>
        <w:t>THE REPUBLIC OF UGANDA</w:t>
      </w:r>
    </w:p>
    <w:p w:rsidR="0048684D" w:rsidRPr="008E7ABC" w:rsidRDefault="0048684D" w:rsidP="0048684D">
      <w:pPr>
        <w:spacing w:after="0"/>
        <w:ind w:left="90"/>
        <w:jc w:val="center"/>
        <w:rPr>
          <w:rFonts w:cstheme="minorHAnsi"/>
          <w:b/>
          <w:sz w:val="28"/>
          <w:szCs w:val="28"/>
        </w:rPr>
      </w:pPr>
      <w:r w:rsidRPr="008E7ABC">
        <w:rPr>
          <w:rFonts w:cstheme="minorHAnsi"/>
          <w:b/>
          <w:sz w:val="28"/>
          <w:szCs w:val="28"/>
        </w:rPr>
        <w:t xml:space="preserve">IN THE INDUSTRIAL COURT OF UGANDA AT </w:t>
      </w:r>
      <w:r>
        <w:rPr>
          <w:rFonts w:cstheme="minorHAnsi"/>
          <w:b/>
          <w:sz w:val="28"/>
          <w:szCs w:val="28"/>
        </w:rPr>
        <w:t>KAMPAL</w:t>
      </w:r>
      <w:r w:rsidRPr="008E7ABC">
        <w:rPr>
          <w:rFonts w:cstheme="minorHAnsi"/>
          <w:b/>
          <w:sz w:val="28"/>
          <w:szCs w:val="28"/>
        </w:rPr>
        <w:t>A</w:t>
      </w:r>
    </w:p>
    <w:p w:rsidR="0048684D" w:rsidRPr="008E7ABC" w:rsidRDefault="0048684D" w:rsidP="0048684D">
      <w:pPr>
        <w:spacing w:after="0"/>
        <w:ind w:left="90"/>
        <w:jc w:val="center"/>
        <w:rPr>
          <w:rFonts w:cstheme="minorHAnsi"/>
          <w:b/>
          <w:sz w:val="28"/>
          <w:szCs w:val="28"/>
        </w:rPr>
      </w:pPr>
      <w:r>
        <w:rPr>
          <w:rFonts w:cstheme="minorHAnsi"/>
          <w:b/>
          <w:sz w:val="28"/>
          <w:szCs w:val="28"/>
        </w:rPr>
        <w:t xml:space="preserve">MISC. APPL. </w:t>
      </w:r>
      <w:r w:rsidRPr="008E7ABC">
        <w:rPr>
          <w:rFonts w:cstheme="minorHAnsi"/>
          <w:b/>
          <w:sz w:val="28"/>
          <w:szCs w:val="28"/>
        </w:rPr>
        <w:t xml:space="preserve"> NO. </w:t>
      </w:r>
      <w:r>
        <w:rPr>
          <w:rFonts w:cstheme="minorHAnsi"/>
          <w:b/>
          <w:sz w:val="28"/>
          <w:szCs w:val="28"/>
        </w:rPr>
        <w:t>166 OF 2020</w:t>
      </w:r>
    </w:p>
    <w:p w:rsidR="0048684D" w:rsidRPr="008E7ABC" w:rsidRDefault="0048684D" w:rsidP="0048684D">
      <w:pPr>
        <w:spacing w:after="0"/>
        <w:ind w:left="90"/>
        <w:jc w:val="center"/>
        <w:rPr>
          <w:rFonts w:cstheme="minorHAnsi"/>
          <w:b/>
          <w:sz w:val="28"/>
          <w:szCs w:val="28"/>
        </w:rPr>
      </w:pPr>
      <w:r w:rsidRPr="008E7ABC">
        <w:rPr>
          <w:rFonts w:cstheme="minorHAnsi"/>
          <w:b/>
          <w:sz w:val="28"/>
          <w:szCs w:val="28"/>
        </w:rPr>
        <w:t>[ARISING FROM LD</w:t>
      </w:r>
      <w:r>
        <w:rPr>
          <w:rFonts w:cstheme="minorHAnsi"/>
          <w:b/>
          <w:sz w:val="28"/>
          <w:szCs w:val="28"/>
        </w:rPr>
        <w:t>R NO. 229</w:t>
      </w:r>
      <w:r w:rsidRPr="008E7ABC">
        <w:rPr>
          <w:rFonts w:cstheme="minorHAnsi"/>
          <w:b/>
          <w:sz w:val="28"/>
          <w:szCs w:val="28"/>
        </w:rPr>
        <w:t>/201</w:t>
      </w:r>
      <w:r>
        <w:rPr>
          <w:rFonts w:cstheme="minorHAnsi"/>
          <w:b/>
          <w:sz w:val="28"/>
          <w:szCs w:val="28"/>
        </w:rPr>
        <w:t>9</w:t>
      </w:r>
      <w:r w:rsidRPr="008E7ABC">
        <w:rPr>
          <w:rFonts w:cstheme="minorHAnsi"/>
          <w:b/>
          <w:sz w:val="28"/>
          <w:szCs w:val="28"/>
        </w:rPr>
        <w:t>]</w:t>
      </w:r>
    </w:p>
    <w:p w:rsidR="0048684D" w:rsidRPr="008E7ABC" w:rsidRDefault="0048684D" w:rsidP="0048684D">
      <w:pPr>
        <w:spacing w:after="0"/>
        <w:ind w:left="90"/>
        <w:jc w:val="center"/>
        <w:rPr>
          <w:rFonts w:cstheme="minorHAnsi"/>
          <w:b/>
          <w:sz w:val="28"/>
          <w:szCs w:val="28"/>
        </w:rPr>
      </w:pPr>
    </w:p>
    <w:p w:rsidR="0048684D" w:rsidRPr="008E7ABC" w:rsidRDefault="0048684D" w:rsidP="0048684D">
      <w:pPr>
        <w:spacing w:after="0"/>
        <w:ind w:left="90"/>
        <w:jc w:val="center"/>
        <w:rPr>
          <w:rFonts w:cstheme="minorHAnsi"/>
          <w:b/>
          <w:sz w:val="28"/>
          <w:szCs w:val="28"/>
        </w:rPr>
      </w:pPr>
      <w:r w:rsidRPr="008E7ABC">
        <w:rPr>
          <w:rFonts w:cstheme="minorHAnsi"/>
          <w:b/>
          <w:sz w:val="28"/>
          <w:szCs w:val="28"/>
        </w:rPr>
        <w:t>BETWEEN</w:t>
      </w:r>
    </w:p>
    <w:p w:rsidR="0048684D" w:rsidRPr="008E7ABC" w:rsidRDefault="0048684D" w:rsidP="0048684D">
      <w:pPr>
        <w:spacing w:after="0"/>
        <w:jc w:val="center"/>
        <w:rPr>
          <w:rFonts w:cstheme="minorHAnsi"/>
          <w:b/>
          <w:sz w:val="28"/>
          <w:szCs w:val="28"/>
        </w:rPr>
      </w:pPr>
      <w:r>
        <w:rPr>
          <w:rFonts w:cstheme="minorHAnsi"/>
          <w:b/>
          <w:sz w:val="28"/>
          <w:szCs w:val="28"/>
        </w:rPr>
        <w:t>SARI CONSULTING LTD.</w:t>
      </w:r>
      <w:r w:rsidRPr="008E7ABC">
        <w:rPr>
          <w:rFonts w:cstheme="minorHAnsi"/>
          <w:b/>
          <w:sz w:val="28"/>
          <w:szCs w:val="28"/>
        </w:rPr>
        <w:t>………………</w:t>
      </w:r>
      <w:proofErr w:type="gramStart"/>
      <w:r>
        <w:rPr>
          <w:rFonts w:cstheme="minorHAnsi"/>
          <w:b/>
          <w:sz w:val="28"/>
          <w:szCs w:val="28"/>
        </w:rPr>
        <w:t>…..</w:t>
      </w:r>
      <w:proofErr w:type="gramEnd"/>
      <w:r w:rsidRPr="008E7ABC">
        <w:rPr>
          <w:rFonts w:cstheme="minorHAnsi"/>
          <w:b/>
          <w:sz w:val="28"/>
          <w:szCs w:val="28"/>
        </w:rPr>
        <w:t>……………………</w:t>
      </w:r>
      <w:r>
        <w:rPr>
          <w:rFonts w:cstheme="minorHAnsi"/>
          <w:b/>
          <w:sz w:val="28"/>
          <w:szCs w:val="28"/>
        </w:rPr>
        <w:t>…………………</w:t>
      </w:r>
      <w:r w:rsidRPr="008E7ABC">
        <w:rPr>
          <w:rFonts w:cstheme="minorHAnsi"/>
          <w:b/>
          <w:sz w:val="28"/>
          <w:szCs w:val="28"/>
        </w:rPr>
        <w:t>……..CLAIMANT</w:t>
      </w:r>
    </w:p>
    <w:p w:rsidR="0048684D" w:rsidRPr="008E7ABC" w:rsidRDefault="0048684D" w:rsidP="0048684D">
      <w:pPr>
        <w:spacing w:after="0"/>
        <w:ind w:left="90"/>
        <w:jc w:val="center"/>
        <w:rPr>
          <w:rFonts w:cstheme="minorHAnsi"/>
          <w:b/>
          <w:sz w:val="28"/>
          <w:szCs w:val="28"/>
        </w:rPr>
      </w:pPr>
      <w:r w:rsidRPr="008E7ABC">
        <w:rPr>
          <w:rFonts w:cstheme="minorHAnsi"/>
          <w:b/>
          <w:sz w:val="28"/>
          <w:szCs w:val="28"/>
        </w:rPr>
        <w:t>VERSUS</w:t>
      </w:r>
    </w:p>
    <w:p w:rsidR="0048684D" w:rsidRPr="008E7ABC" w:rsidRDefault="0048684D" w:rsidP="0048684D">
      <w:pPr>
        <w:spacing w:after="0"/>
        <w:ind w:left="90"/>
        <w:jc w:val="center"/>
        <w:rPr>
          <w:rFonts w:cstheme="minorHAnsi"/>
          <w:b/>
          <w:sz w:val="28"/>
          <w:szCs w:val="28"/>
        </w:rPr>
      </w:pPr>
    </w:p>
    <w:p w:rsidR="0048684D" w:rsidRPr="008E7ABC" w:rsidRDefault="0048684D" w:rsidP="0048684D">
      <w:pPr>
        <w:spacing w:after="0"/>
        <w:jc w:val="center"/>
        <w:rPr>
          <w:rFonts w:cstheme="minorHAnsi"/>
          <w:b/>
          <w:sz w:val="28"/>
          <w:szCs w:val="28"/>
        </w:rPr>
      </w:pPr>
      <w:r>
        <w:rPr>
          <w:rFonts w:cstheme="minorHAnsi"/>
          <w:b/>
          <w:sz w:val="28"/>
          <w:szCs w:val="28"/>
        </w:rPr>
        <w:t>GIORGIO ZENAGALIA.</w:t>
      </w:r>
      <w:r w:rsidRPr="008E7ABC">
        <w:rPr>
          <w:rFonts w:cstheme="minorHAnsi"/>
          <w:b/>
          <w:sz w:val="28"/>
          <w:szCs w:val="28"/>
        </w:rPr>
        <w:t>………</w:t>
      </w:r>
      <w:r>
        <w:rPr>
          <w:rFonts w:cstheme="minorHAnsi"/>
          <w:b/>
          <w:sz w:val="28"/>
          <w:szCs w:val="28"/>
        </w:rPr>
        <w:t>………………………………………….………</w:t>
      </w:r>
      <w:r w:rsidRPr="008E7ABC">
        <w:rPr>
          <w:rFonts w:cstheme="minorHAnsi"/>
          <w:b/>
          <w:sz w:val="28"/>
          <w:szCs w:val="28"/>
        </w:rPr>
        <w:t>……RESPONDENT</w:t>
      </w:r>
    </w:p>
    <w:p w:rsidR="0048684D" w:rsidRPr="008E7ABC" w:rsidRDefault="0048684D" w:rsidP="0048684D">
      <w:pPr>
        <w:spacing w:after="0"/>
        <w:jc w:val="center"/>
        <w:rPr>
          <w:rFonts w:cstheme="minorHAnsi"/>
          <w:b/>
          <w:sz w:val="28"/>
          <w:szCs w:val="28"/>
          <w:u w:val="single"/>
        </w:rPr>
      </w:pPr>
    </w:p>
    <w:p w:rsidR="0048684D" w:rsidRPr="008E7ABC" w:rsidRDefault="0048684D" w:rsidP="0048684D">
      <w:pPr>
        <w:spacing w:after="0"/>
        <w:ind w:left="90"/>
        <w:jc w:val="both"/>
        <w:rPr>
          <w:rFonts w:cstheme="minorHAnsi"/>
          <w:b/>
          <w:sz w:val="28"/>
          <w:szCs w:val="28"/>
          <w:u w:val="single"/>
        </w:rPr>
      </w:pPr>
      <w:r w:rsidRPr="008E7ABC">
        <w:rPr>
          <w:rFonts w:cstheme="minorHAnsi"/>
          <w:b/>
          <w:sz w:val="28"/>
          <w:szCs w:val="28"/>
          <w:u w:val="single"/>
        </w:rPr>
        <w:t>BEFORE</w:t>
      </w:r>
    </w:p>
    <w:p w:rsidR="0048684D" w:rsidRPr="008E7ABC" w:rsidRDefault="0048684D" w:rsidP="0048684D">
      <w:pPr>
        <w:pStyle w:val="ListParagraph"/>
        <w:numPr>
          <w:ilvl w:val="0"/>
          <w:numId w:val="1"/>
        </w:numPr>
        <w:spacing w:after="0"/>
        <w:jc w:val="both"/>
        <w:rPr>
          <w:rFonts w:cstheme="minorHAnsi"/>
          <w:sz w:val="28"/>
          <w:szCs w:val="28"/>
        </w:rPr>
      </w:pPr>
      <w:r w:rsidRPr="008E7ABC">
        <w:rPr>
          <w:rFonts w:cstheme="minorHAnsi"/>
          <w:sz w:val="28"/>
          <w:szCs w:val="28"/>
        </w:rPr>
        <w:t xml:space="preserve">Hon. Chief Judge </w:t>
      </w:r>
      <w:proofErr w:type="spellStart"/>
      <w:r w:rsidRPr="008E7ABC">
        <w:rPr>
          <w:rFonts w:cstheme="minorHAnsi"/>
          <w:sz w:val="28"/>
          <w:szCs w:val="28"/>
        </w:rPr>
        <w:t>Ruhinda</w:t>
      </w:r>
      <w:proofErr w:type="spellEnd"/>
      <w:r w:rsidRPr="008E7ABC">
        <w:rPr>
          <w:rFonts w:cstheme="minorHAnsi"/>
          <w:sz w:val="28"/>
          <w:szCs w:val="28"/>
        </w:rPr>
        <w:t xml:space="preserve"> Asaph </w:t>
      </w:r>
      <w:proofErr w:type="spellStart"/>
      <w:r w:rsidRPr="008E7ABC">
        <w:rPr>
          <w:rFonts w:cstheme="minorHAnsi"/>
          <w:sz w:val="28"/>
          <w:szCs w:val="28"/>
        </w:rPr>
        <w:t>Ntengye</w:t>
      </w:r>
      <w:proofErr w:type="spellEnd"/>
    </w:p>
    <w:p w:rsidR="0048684D" w:rsidRPr="008E7ABC" w:rsidRDefault="0048684D" w:rsidP="0048684D">
      <w:pPr>
        <w:pStyle w:val="ListParagraph"/>
        <w:numPr>
          <w:ilvl w:val="0"/>
          <w:numId w:val="1"/>
        </w:numPr>
        <w:spacing w:after="0"/>
        <w:jc w:val="both"/>
        <w:rPr>
          <w:rFonts w:cstheme="minorHAnsi"/>
          <w:sz w:val="28"/>
          <w:szCs w:val="28"/>
        </w:rPr>
      </w:pPr>
      <w:r w:rsidRPr="008E7ABC">
        <w:rPr>
          <w:rFonts w:cstheme="minorHAnsi"/>
          <w:sz w:val="28"/>
          <w:szCs w:val="28"/>
        </w:rPr>
        <w:t xml:space="preserve">Hon. Lady Justice Linda </w:t>
      </w:r>
      <w:proofErr w:type="spellStart"/>
      <w:r w:rsidRPr="008E7ABC">
        <w:rPr>
          <w:rFonts w:cstheme="minorHAnsi"/>
          <w:sz w:val="28"/>
          <w:szCs w:val="28"/>
        </w:rPr>
        <w:t>Tumusiime</w:t>
      </w:r>
      <w:proofErr w:type="spellEnd"/>
      <w:r w:rsidRPr="008E7ABC">
        <w:rPr>
          <w:rFonts w:cstheme="minorHAnsi"/>
          <w:sz w:val="28"/>
          <w:szCs w:val="28"/>
        </w:rPr>
        <w:t xml:space="preserve"> </w:t>
      </w:r>
      <w:proofErr w:type="spellStart"/>
      <w:r w:rsidRPr="008E7ABC">
        <w:rPr>
          <w:rFonts w:cstheme="minorHAnsi"/>
          <w:sz w:val="28"/>
          <w:szCs w:val="28"/>
        </w:rPr>
        <w:t>Mugisha</w:t>
      </w:r>
      <w:proofErr w:type="spellEnd"/>
    </w:p>
    <w:p w:rsidR="0048684D" w:rsidRPr="008E7ABC" w:rsidRDefault="0048684D" w:rsidP="0048684D">
      <w:pPr>
        <w:spacing w:after="0"/>
        <w:ind w:left="90"/>
        <w:jc w:val="both"/>
        <w:rPr>
          <w:rFonts w:cstheme="minorHAnsi"/>
          <w:sz w:val="28"/>
          <w:szCs w:val="28"/>
        </w:rPr>
      </w:pPr>
    </w:p>
    <w:p w:rsidR="0048684D" w:rsidRPr="008E7ABC" w:rsidRDefault="0048684D" w:rsidP="0048684D">
      <w:pPr>
        <w:spacing w:after="0"/>
        <w:ind w:left="90"/>
        <w:jc w:val="both"/>
        <w:rPr>
          <w:rFonts w:cstheme="minorHAnsi"/>
          <w:b/>
          <w:sz w:val="28"/>
          <w:szCs w:val="28"/>
          <w:u w:val="single"/>
        </w:rPr>
      </w:pPr>
      <w:r w:rsidRPr="008E7ABC">
        <w:rPr>
          <w:rFonts w:cstheme="minorHAnsi"/>
          <w:b/>
          <w:sz w:val="28"/>
          <w:szCs w:val="28"/>
          <w:u w:val="single"/>
        </w:rPr>
        <w:t>PANELISTS</w:t>
      </w:r>
    </w:p>
    <w:p w:rsidR="0048684D" w:rsidRPr="008E7ABC" w:rsidRDefault="0048684D" w:rsidP="0048684D">
      <w:pPr>
        <w:pStyle w:val="ListParagraph"/>
        <w:numPr>
          <w:ilvl w:val="0"/>
          <w:numId w:val="2"/>
        </w:numPr>
        <w:spacing w:after="0"/>
        <w:jc w:val="both"/>
        <w:rPr>
          <w:rFonts w:cstheme="minorHAnsi"/>
          <w:sz w:val="28"/>
          <w:szCs w:val="28"/>
        </w:rPr>
      </w:pPr>
      <w:r>
        <w:rPr>
          <w:rFonts w:cstheme="minorHAnsi"/>
          <w:sz w:val="28"/>
          <w:szCs w:val="28"/>
        </w:rPr>
        <w:t>Ms</w:t>
      </w:r>
      <w:r w:rsidRPr="008E7ABC">
        <w:rPr>
          <w:rFonts w:cstheme="minorHAnsi"/>
          <w:sz w:val="28"/>
          <w:szCs w:val="28"/>
        </w:rPr>
        <w:t xml:space="preserve">. </w:t>
      </w:r>
      <w:proofErr w:type="spellStart"/>
      <w:r>
        <w:rPr>
          <w:rFonts w:cstheme="minorHAnsi"/>
          <w:sz w:val="28"/>
          <w:szCs w:val="28"/>
        </w:rPr>
        <w:t>Adrine</w:t>
      </w:r>
      <w:proofErr w:type="spellEnd"/>
      <w:r>
        <w:rPr>
          <w:rFonts w:cstheme="minorHAnsi"/>
          <w:sz w:val="28"/>
          <w:szCs w:val="28"/>
        </w:rPr>
        <w:t xml:space="preserve"> </w:t>
      </w:r>
      <w:proofErr w:type="spellStart"/>
      <w:r>
        <w:rPr>
          <w:rFonts w:cstheme="minorHAnsi"/>
          <w:sz w:val="28"/>
          <w:szCs w:val="28"/>
        </w:rPr>
        <w:t>Namara</w:t>
      </w:r>
      <w:proofErr w:type="spellEnd"/>
    </w:p>
    <w:p w:rsidR="0048684D" w:rsidRPr="008E7ABC" w:rsidRDefault="0048684D" w:rsidP="0048684D">
      <w:pPr>
        <w:pStyle w:val="ListParagraph"/>
        <w:numPr>
          <w:ilvl w:val="0"/>
          <w:numId w:val="2"/>
        </w:numPr>
        <w:spacing w:after="0"/>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Ma</w:t>
      </w:r>
      <w:r>
        <w:rPr>
          <w:rFonts w:cstheme="minorHAnsi"/>
          <w:sz w:val="28"/>
          <w:szCs w:val="28"/>
        </w:rPr>
        <w:t>tovu</w:t>
      </w:r>
      <w:proofErr w:type="spellEnd"/>
      <w:r>
        <w:rPr>
          <w:rFonts w:cstheme="minorHAnsi"/>
          <w:sz w:val="28"/>
          <w:szCs w:val="28"/>
        </w:rPr>
        <w:t xml:space="preserve"> Michael</w:t>
      </w:r>
    </w:p>
    <w:p w:rsidR="0048684D" w:rsidRDefault="0048684D" w:rsidP="0048684D">
      <w:pPr>
        <w:pStyle w:val="ListParagraph"/>
        <w:numPr>
          <w:ilvl w:val="0"/>
          <w:numId w:val="2"/>
        </w:numPr>
        <w:spacing w:after="0"/>
        <w:jc w:val="both"/>
        <w:rPr>
          <w:rFonts w:cstheme="minorHAnsi"/>
          <w:sz w:val="28"/>
          <w:szCs w:val="28"/>
        </w:rPr>
      </w:pPr>
      <w:r w:rsidRPr="008E7ABC">
        <w:rPr>
          <w:rFonts w:cstheme="minorHAnsi"/>
          <w:sz w:val="28"/>
          <w:szCs w:val="28"/>
        </w:rPr>
        <w:t xml:space="preserve">Ms. </w:t>
      </w:r>
      <w:r>
        <w:rPr>
          <w:rFonts w:cstheme="minorHAnsi"/>
          <w:sz w:val="28"/>
          <w:szCs w:val="28"/>
        </w:rPr>
        <w:t xml:space="preserve">Susan </w:t>
      </w:r>
      <w:proofErr w:type="spellStart"/>
      <w:r>
        <w:rPr>
          <w:rFonts w:cstheme="minorHAnsi"/>
          <w:sz w:val="28"/>
          <w:szCs w:val="28"/>
        </w:rPr>
        <w:t>Nabirye</w:t>
      </w:r>
      <w:proofErr w:type="spellEnd"/>
    </w:p>
    <w:p w:rsidR="0048684D" w:rsidRPr="0048684D" w:rsidRDefault="0048684D" w:rsidP="0048684D">
      <w:pPr>
        <w:spacing w:after="0"/>
        <w:jc w:val="both"/>
        <w:rPr>
          <w:rFonts w:cstheme="minorHAnsi"/>
          <w:sz w:val="28"/>
          <w:szCs w:val="28"/>
        </w:rPr>
      </w:pPr>
    </w:p>
    <w:p w:rsidR="007A6B32" w:rsidRDefault="0048684D" w:rsidP="0048684D">
      <w:pPr>
        <w:jc w:val="center"/>
        <w:rPr>
          <w:rFonts w:cstheme="minorHAnsi"/>
          <w:b/>
          <w:sz w:val="28"/>
          <w:szCs w:val="28"/>
          <w:u w:val="single"/>
        </w:rPr>
      </w:pPr>
      <w:r>
        <w:rPr>
          <w:rFonts w:cstheme="minorHAnsi"/>
          <w:b/>
          <w:sz w:val="28"/>
          <w:szCs w:val="28"/>
          <w:u w:val="single"/>
        </w:rPr>
        <w:t>RULING</w:t>
      </w:r>
    </w:p>
    <w:p w:rsidR="0048684D" w:rsidRDefault="0048684D" w:rsidP="004E5CE3">
      <w:pPr>
        <w:jc w:val="both"/>
        <w:rPr>
          <w:rFonts w:cstheme="minorHAnsi"/>
          <w:b/>
          <w:sz w:val="28"/>
          <w:szCs w:val="28"/>
        </w:rPr>
      </w:pPr>
      <w:r>
        <w:rPr>
          <w:rFonts w:cstheme="minorHAnsi"/>
          <w:sz w:val="28"/>
          <w:szCs w:val="28"/>
        </w:rPr>
        <w:t>This</w:t>
      </w:r>
      <w:r w:rsidR="00340826">
        <w:rPr>
          <w:rFonts w:cstheme="minorHAnsi"/>
          <w:sz w:val="28"/>
          <w:szCs w:val="28"/>
        </w:rPr>
        <w:t xml:space="preserve"> is an</w:t>
      </w:r>
      <w:r>
        <w:rPr>
          <w:rFonts w:cstheme="minorHAnsi"/>
          <w:sz w:val="28"/>
          <w:szCs w:val="28"/>
        </w:rPr>
        <w:t xml:space="preserve"> application brought under </w:t>
      </w:r>
      <w:r>
        <w:rPr>
          <w:rFonts w:cstheme="minorHAnsi"/>
          <w:b/>
          <w:sz w:val="28"/>
          <w:szCs w:val="28"/>
        </w:rPr>
        <w:t>Section 22 and 40 of the Labour disputes (Arbitration and Settlement) Act 2006, Rule 23 of the Labour disputes (Arbitration a</w:t>
      </w:r>
      <w:r w:rsidR="00340826">
        <w:rPr>
          <w:rFonts w:cstheme="minorHAnsi"/>
          <w:b/>
          <w:sz w:val="28"/>
          <w:szCs w:val="28"/>
        </w:rPr>
        <w:t>nd Settlement) (Industrial Court</w:t>
      </w:r>
      <w:r>
        <w:rPr>
          <w:rFonts w:cstheme="minorHAnsi"/>
          <w:b/>
          <w:sz w:val="28"/>
          <w:szCs w:val="28"/>
        </w:rPr>
        <w:t xml:space="preserve"> Procedure) Rules 2012, Section 79 and 98 </w:t>
      </w:r>
      <w:r w:rsidR="00340826">
        <w:rPr>
          <w:rFonts w:cstheme="minorHAnsi"/>
          <w:b/>
          <w:sz w:val="28"/>
          <w:szCs w:val="28"/>
        </w:rPr>
        <w:t>of the Civil Procedure Act and O</w:t>
      </w:r>
      <w:r>
        <w:rPr>
          <w:rFonts w:cstheme="minorHAnsi"/>
          <w:b/>
          <w:sz w:val="28"/>
          <w:szCs w:val="28"/>
        </w:rPr>
        <w:t xml:space="preserve">44 rule 1(1), (2), (3), (4) and rule 2 of the Civil </w:t>
      </w:r>
      <w:r w:rsidR="00340826">
        <w:rPr>
          <w:rFonts w:cstheme="minorHAnsi"/>
          <w:b/>
          <w:sz w:val="28"/>
          <w:szCs w:val="28"/>
        </w:rPr>
        <w:t>Procedure</w:t>
      </w:r>
      <w:r w:rsidR="00023083">
        <w:rPr>
          <w:rFonts w:cstheme="minorHAnsi"/>
          <w:b/>
          <w:sz w:val="28"/>
          <w:szCs w:val="28"/>
        </w:rPr>
        <w:t xml:space="preserve"> </w:t>
      </w:r>
      <w:r>
        <w:rPr>
          <w:rFonts w:cstheme="minorHAnsi"/>
          <w:b/>
          <w:sz w:val="28"/>
          <w:szCs w:val="28"/>
        </w:rPr>
        <w:t>Rules.</w:t>
      </w:r>
    </w:p>
    <w:p w:rsidR="00023083" w:rsidRDefault="00023083" w:rsidP="004E5CE3">
      <w:pPr>
        <w:jc w:val="both"/>
        <w:rPr>
          <w:rFonts w:cstheme="minorHAnsi"/>
          <w:sz w:val="28"/>
          <w:szCs w:val="28"/>
        </w:rPr>
      </w:pPr>
      <w:r>
        <w:rPr>
          <w:rFonts w:cstheme="minorHAnsi"/>
          <w:sz w:val="28"/>
          <w:szCs w:val="28"/>
        </w:rPr>
        <w:t xml:space="preserve">The application seeks orders of this court to grant leave to the applicant to appeal against this court’s ruling on a preliminary objection and to stay proceedings in LDR 229/2019 pending the </w:t>
      </w:r>
      <w:r w:rsidR="00340826">
        <w:rPr>
          <w:rFonts w:cstheme="minorHAnsi"/>
          <w:sz w:val="28"/>
          <w:szCs w:val="28"/>
        </w:rPr>
        <w:t>determination of the appeal by C</w:t>
      </w:r>
      <w:r>
        <w:rPr>
          <w:rFonts w:cstheme="minorHAnsi"/>
          <w:sz w:val="28"/>
          <w:szCs w:val="28"/>
        </w:rPr>
        <w:t>ourt of Appeal.</w:t>
      </w:r>
    </w:p>
    <w:p w:rsidR="00A6559E" w:rsidRDefault="00A6559E" w:rsidP="004E5CE3">
      <w:pPr>
        <w:jc w:val="both"/>
        <w:rPr>
          <w:rFonts w:cstheme="minorHAnsi"/>
          <w:sz w:val="28"/>
          <w:szCs w:val="28"/>
        </w:rPr>
      </w:pPr>
      <w:r>
        <w:rPr>
          <w:rFonts w:cstheme="minorHAnsi"/>
          <w:sz w:val="28"/>
          <w:szCs w:val="28"/>
        </w:rPr>
        <w:t xml:space="preserve">The application is supported by an affidavit of one </w:t>
      </w:r>
      <w:proofErr w:type="spellStart"/>
      <w:r>
        <w:rPr>
          <w:rFonts w:cstheme="minorHAnsi"/>
          <w:sz w:val="28"/>
          <w:szCs w:val="28"/>
        </w:rPr>
        <w:t>Omolo</w:t>
      </w:r>
      <w:r w:rsidR="00340826">
        <w:rPr>
          <w:rFonts w:cstheme="minorHAnsi"/>
          <w:sz w:val="28"/>
          <w:szCs w:val="28"/>
        </w:rPr>
        <w:t>y</w:t>
      </w:r>
      <w:proofErr w:type="spellEnd"/>
      <w:r>
        <w:rPr>
          <w:rFonts w:cstheme="minorHAnsi"/>
          <w:sz w:val="28"/>
          <w:szCs w:val="28"/>
        </w:rPr>
        <w:t xml:space="preserve"> Ivan to the effect th</w:t>
      </w:r>
      <w:r w:rsidR="00340826">
        <w:rPr>
          <w:rFonts w:cstheme="minorHAnsi"/>
          <w:sz w:val="28"/>
          <w:szCs w:val="28"/>
        </w:rPr>
        <w:t>at the applicant has filed a no</w:t>
      </w:r>
      <w:r>
        <w:rPr>
          <w:rFonts w:cstheme="minorHAnsi"/>
          <w:sz w:val="28"/>
          <w:szCs w:val="28"/>
        </w:rPr>
        <w:t xml:space="preserve">tice of appeal against the ruling of this court and that </w:t>
      </w:r>
      <w:r>
        <w:rPr>
          <w:rFonts w:cstheme="minorHAnsi"/>
          <w:sz w:val="28"/>
          <w:szCs w:val="28"/>
        </w:rPr>
        <w:lastRenderedPageBreak/>
        <w:t>the intended appeal raises serious questio</w:t>
      </w:r>
      <w:r w:rsidR="00340826">
        <w:rPr>
          <w:rFonts w:cstheme="minorHAnsi"/>
          <w:sz w:val="28"/>
          <w:szCs w:val="28"/>
        </w:rPr>
        <w:t>ns of law and fact and has a lik</w:t>
      </w:r>
      <w:r>
        <w:rPr>
          <w:rFonts w:cstheme="minorHAnsi"/>
          <w:sz w:val="28"/>
          <w:szCs w:val="28"/>
        </w:rPr>
        <w:t xml:space="preserve">elihood of success.  The </w:t>
      </w:r>
      <w:r w:rsidR="00340826">
        <w:rPr>
          <w:rFonts w:cstheme="minorHAnsi"/>
          <w:sz w:val="28"/>
          <w:szCs w:val="28"/>
        </w:rPr>
        <w:t>affidavit under</w:t>
      </w:r>
      <w:r>
        <w:rPr>
          <w:rFonts w:cstheme="minorHAnsi"/>
          <w:sz w:val="28"/>
          <w:szCs w:val="28"/>
        </w:rPr>
        <w:t xml:space="preserve"> paragraphs 8, 9, and 10 raised 3 grounds though</w:t>
      </w:r>
      <w:r w:rsidR="00340826">
        <w:rPr>
          <w:rFonts w:cstheme="minorHAnsi"/>
          <w:sz w:val="28"/>
          <w:szCs w:val="28"/>
        </w:rPr>
        <w:t>t</w:t>
      </w:r>
      <w:r>
        <w:rPr>
          <w:rFonts w:cstheme="minorHAnsi"/>
          <w:sz w:val="28"/>
          <w:szCs w:val="28"/>
        </w:rPr>
        <w:t xml:space="preserve"> to be the serious questions of law.</w:t>
      </w:r>
    </w:p>
    <w:p w:rsidR="004E5CE3" w:rsidRDefault="004E5CE3" w:rsidP="004E5CE3">
      <w:pPr>
        <w:jc w:val="both"/>
        <w:rPr>
          <w:rFonts w:cstheme="minorHAnsi"/>
          <w:sz w:val="28"/>
          <w:szCs w:val="28"/>
        </w:rPr>
      </w:pPr>
      <w:r>
        <w:rPr>
          <w:rFonts w:cstheme="minorHAnsi"/>
          <w:sz w:val="28"/>
          <w:szCs w:val="28"/>
        </w:rPr>
        <w:t xml:space="preserve">An affidavit in reply by one </w:t>
      </w:r>
      <w:r w:rsidR="00340826">
        <w:rPr>
          <w:rFonts w:cstheme="minorHAnsi"/>
          <w:sz w:val="28"/>
          <w:szCs w:val="28"/>
        </w:rPr>
        <w:t>Angela</w:t>
      </w:r>
      <w:r>
        <w:rPr>
          <w:rFonts w:cstheme="minorHAnsi"/>
          <w:sz w:val="28"/>
          <w:szCs w:val="28"/>
        </w:rPr>
        <w:t xml:space="preserve"> </w:t>
      </w:r>
      <w:proofErr w:type="spellStart"/>
      <w:r>
        <w:rPr>
          <w:rFonts w:cstheme="minorHAnsi"/>
          <w:sz w:val="28"/>
          <w:szCs w:val="28"/>
        </w:rPr>
        <w:t>Kahairwe</w:t>
      </w:r>
      <w:proofErr w:type="spellEnd"/>
      <w:r>
        <w:rPr>
          <w:rFonts w:cstheme="minorHAnsi"/>
          <w:sz w:val="28"/>
          <w:szCs w:val="28"/>
        </w:rPr>
        <w:t xml:space="preserve"> is to the effect that the intended appeal is a ploy to occasion an injustice, a delay tactic and an attempt of the applicant to seek procedural advantage.  The affidavit contends that the application was f</w:t>
      </w:r>
      <w:r w:rsidRPr="004E5CE3">
        <w:rPr>
          <w:rFonts w:cstheme="minorHAnsi"/>
          <w:sz w:val="28"/>
          <w:szCs w:val="28"/>
        </w:rPr>
        <w:t>iled after a long delay of 90 days from the delivery of the ruling i</w:t>
      </w:r>
      <w:r>
        <w:rPr>
          <w:rFonts w:cstheme="minorHAnsi"/>
          <w:sz w:val="28"/>
          <w:szCs w:val="28"/>
        </w:rPr>
        <w:t>n</w:t>
      </w:r>
      <w:r w:rsidRPr="004E5CE3">
        <w:rPr>
          <w:rFonts w:cstheme="minorHAnsi"/>
          <w:sz w:val="28"/>
          <w:szCs w:val="28"/>
        </w:rPr>
        <w:t>dicati</w:t>
      </w:r>
      <w:r>
        <w:rPr>
          <w:rFonts w:cstheme="minorHAnsi"/>
          <w:sz w:val="28"/>
          <w:szCs w:val="28"/>
        </w:rPr>
        <w:t>ng</w:t>
      </w:r>
      <w:r w:rsidRPr="004E5CE3">
        <w:rPr>
          <w:rFonts w:cstheme="minorHAnsi"/>
          <w:sz w:val="28"/>
          <w:szCs w:val="28"/>
        </w:rPr>
        <w:t xml:space="preserve"> it was an afterthought.</w:t>
      </w:r>
      <w:r>
        <w:rPr>
          <w:rFonts w:cstheme="minorHAnsi"/>
          <w:sz w:val="28"/>
          <w:szCs w:val="28"/>
        </w:rPr>
        <w:t xml:space="preserve"> </w:t>
      </w:r>
    </w:p>
    <w:p w:rsidR="004E5CE3" w:rsidRDefault="004E5CE3" w:rsidP="004E5CE3">
      <w:pPr>
        <w:jc w:val="both"/>
        <w:rPr>
          <w:rFonts w:cstheme="minorHAnsi"/>
          <w:sz w:val="28"/>
          <w:szCs w:val="28"/>
        </w:rPr>
      </w:pPr>
      <w:r>
        <w:rPr>
          <w:rFonts w:cstheme="minorHAnsi"/>
          <w:sz w:val="28"/>
          <w:szCs w:val="28"/>
        </w:rPr>
        <w:t>The applican</w:t>
      </w:r>
      <w:r w:rsidR="00340826">
        <w:rPr>
          <w:rFonts w:cstheme="minorHAnsi"/>
          <w:sz w:val="28"/>
          <w:szCs w:val="28"/>
        </w:rPr>
        <w:t xml:space="preserve">t was represented by Mr. </w:t>
      </w:r>
      <w:proofErr w:type="spellStart"/>
      <w:r w:rsidR="00340826">
        <w:rPr>
          <w:rFonts w:cstheme="minorHAnsi"/>
          <w:sz w:val="28"/>
          <w:szCs w:val="28"/>
        </w:rPr>
        <w:t>Omoloy</w:t>
      </w:r>
      <w:proofErr w:type="spellEnd"/>
      <w:r>
        <w:rPr>
          <w:rFonts w:cstheme="minorHAnsi"/>
          <w:sz w:val="28"/>
          <w:szCs w:val="28"/>
        </w:rPr>
        <w:t xml:space="preserve"> Ivan of </w:t>
      </w:r>
      <w:proofErr w:type="spellStart"/>
      <w:r>
        <w:rPr>
          <w:rFonts w:cstheme="minorHAnsi"/>
          <w:sz w:val="28"/>
          <w:szCs w:val="28"/>
        </w:rPr>
        <w:t>Okello</w:t>
      </w:r>
      <w:proofErr w:type="spellEnd"/>
      <w:r>
        <w:rPr>
          <w:rFonts w:cstheme="minorHAnsi"/>
          <w:sz w:val="28"/>
          <w:szCs w:val="28"/>
        </w:rPr>
        <w:t xml:space="preserve"> </w:t>
      </w:r>
      <w:proofErr w:type="spellStart"/>
      <w:r>
        <w:rPr>
          <w:rFonts w:cstheme="minorHAnsi"/>
          <w:sz w:val="28"/>
          <w:szCs w:val="28"/>
        </w:rPr>
        <w:t>Oryem</w:t>
      </w:r>
      <w:proofErr w:type="spellEnd"/>
      <w:r>
        <w:rPr>
          <w:rFonts w:cstheme="minorHAnsi"/>
          <w:sz w:val="28"/>
          <w:szCs w:val="28"/>
        </w:rPr>
        <w:t xml:space="preserve"> &amp; Co. Advocates while the respondent was represented by one Mr. </w:t>
      </w:r>
      <w:proofErr w:type="spellStart"/>
      <w:r>
        <w:rPr>
          <w:rFonts w:cstheme="minorHAnsi"/>
          <w:sz w:val="28"/>
          <w:szCs w:val="28"/>
        </w:rPr>
        <w:t>Harlold</w:t>
      </w:r>
      <w:proofErr w:type="spellEnd"/>
      <w:r>
        <w:rPr>
          <w:rFonts w:cstheme="minorHAnsi"/>
          <w:sz w:val="28"/>
          <w:szCs w:val="28"/>
        </w:rPr>
        <w:t xml:space="preserve"> </w:t>
      </w:r>
      <w:proofErr w:type="spellStart"/>
      <w:r>
        <w:rPr>
          <w:rFonts w:cstheme="minorHAnsi"/>
          <w:sz w:val="28"/>
          <w:szCs w:val="28"/>
        </w:rPr>
        <w:t>Turigye</w:t>
      </w:r>
      <w:proofErr w:type="spellEnd"/>
      <w:r>
        <w:rPr>
          <w:rFonts w:cstheme="minorHAnsi"/>
          <w:sz w:val="28"/>
          <w:szCs w:val="28"/>
        </w:rPr>
        <w:t xml:space="preserve"> of CR. </w:t>
      </w:r>
      <w:proofErr w:type="spellStart"/>
      <w:r>
        <w:rPr>
          <w:rFonts w:cstheme="minorHAnsi"/>
          <w:sz w:val="28"/>
          <w:szCs w:val="28"/>
        </w:rPr>
        <w:t>Amanya</w:t>
      </w:r>
      <w:proofErr w:type="spellEnd"/>
      <w:r>
        <w:rPr>
          <w:rFonts w:cstheme="minorHAnsi"/>
          <w:sz w:val="28"/>
          <w:szCs w:val="28"/>
        </w:rPr>
        <w:t xml:space="preserve"> Advocates &amp; Solicitors.</w:t>
      </w:r>
    </w:p>
    <w:p w:rsidR="004E5CE3" w:rsidRDefault="004E5CE3" w:rsidP="004E5CE3">
      <w:pPr>
        <w:jc w:val="both"/>
        <w:rPr>
          <w:rFonts w:cstheme="minorHAnsi"/>
          <w:b/>
          <w:sz w:val="28"/>
          <w:szCs w:val="28"/>
          <w:u w:val="single"/>
        </w:rPr>
      </w:pPr>
      <w:r>
        <w:rPr>
          <w:rFonts w:cstheme="minorHAnsi"/>
          <w:b/>
          <w:sz w:val="28"/>
          <w:szCs w:val="28"/>
          <w:u w:val="single"/>
        </w:rPr>
        <w:t>Submissions</w:t>
      </w:r>
    </w:p>
    <w:p w:rsidR="00B2015E" w:rsidRDefault="00B2015E" w:rsidP="004E5CE3">
      <w:pPr>
        <w:jc w:val="both"/>
        <w:rPr>
          <w:rFonts w:cstheme="minorHAnsi"/>
          <w:sz w:val="28"/>
          <w:szCs w:val="28"/>
        </w:rPr>
      </w:pPr>
      <w:r w:rsidRPr="00B2015E">
        <w:rPr>
          <w:rFonts w:cstheme="minorHAnsi"/>
          <w:sz w:val="28"/>
          <w:szCs w:val="28"/>
        </w:rPr>
        <w:t xml:space="preserve">It was </w:t>
      </w:r>
      <w:r w:rsidR="00842C10" w:rsidRPr="00B2015E">
        <w:rPr>
          <w:rFonts w:cstheme="minorHAnsi"/>
          <w:sz w:val="28"/>
          <w:szCs w:val="28"/>
        </w:rPr>
        <w:t xml:space="preserve">submitted </w:t>
      </w:r>
      <w:r w:rsidR="00842C10">
        <w:rPr>
          <w:rFonts w:cstheme="minorHAnsi"/>
          <w:sz w:val="28"/>
          <w:szCs w:val="28"/>
        </w:rPr>
        <w:t>for</w:t>
      </w:r>
      <w:r>
        <w:rPr>
          <w:rFonts w:cstheme="minorHAnsi"/>
          <w:sz w:val="28"/>
          <w:szCs w:val="28"/>
        </w:rPr>
        <w:t xml:space="preserve"> the applicant</w:t>
      </w:r>
      <w:r w:rsidR="00842C10">
        <w:rPr>
          <w:rFonts w:cstheme="minorHAnsi"/>
          <w:sz w:val="28"/>
          <w:szCs w:val="28"/>
        </w:rPr>
        <w:t xml:space="preserve"> that there were serious grounds of appeal meriting judicial consideration by</w:t>
      </w:r>
      <w:r w:rsidR="00340826">
        <w:rPr>
          <w:rFonts w:cstheme="minorHAnsi"/>
          <w:sz w:val="28"/>
          <w:szCs w:val="28"/>
        </w:rPr>
        <w:t xml:space="preserve"> the C</w:t>
      </w:r>
      <w:r w:rsidR="00842C10">
        <w:rPr>
          <w:rFonts w:cstheme="minorHAnsi"/>
          <w:sz w:val="28"/>
          <w:szCs w:val="28"/>
        </w:rPr>
        <w:t xml:space="preserve">ourt of Appeal.  Counsel went on to </w:t>
      </w:r>
      <w:r w:rsidR="000F3C3C">
        <w:rPr>
          <w:rFonts w:cstheme="minorHAnsi"/>
          <w:sz w:val="28"/>
          <w:szCs w:val="28"/>
        </w:rPr>
        <w:t>submit on</w:t>
      </w:r>
      <w:r w:rsidR="00842C10">
        <w:rPr>
          <w:rFonts w:cstheme="minorHAnsi"/>
          <w:sz w:val="28"/>
          <w:szCs w:val="28"/>
        </w:rPr>
        <w:t xml:space="preserve"> each of</w:t>
      </w:r>
      <w:r w:rsidR="00340826">
        <w:rPr>
          <w:rFonts w:cstheme="minorHAnsi"/>
          <w:sz w:val="28"/>
          <w:szCs w:val="28"/>
        </w:rPr>
        <w:t xml:space="preserve"> what was termed as serious</w:t>
      </w:r>
      <w:r w:rsidR="00842C10">
        <w:rPr>
          <w:rFonts w:cstheme="minorHAnsi"/>
          <w:sz w:val="28"/>
          <w:szCs w:val="28"/>
        </w:rPr>
        <w:t xml:space="preserve"> questions of law raised under paragraphs</w:t>
      </w:r>
      <w:r w:rsidR="000F3C3C">
        <w:rPr>
          <w:rFonts w:cstheme="minorHAnsi"/>
          <w:sz w:val="28"/>
          <w:szCs w:val="28"/>
        </w:rPr>
        <w:t xml:space="preserve"> 8, 9, and 10 of the affidavit in support of the application.</w:t>
      </w:r>
    </w:p>
    <w:p w:rsidR="00AA43A2" w:rsidRDefault="000F3C3C" w:rsidP="004E5CE3">
      <w:pPr>
        <w:jc w:val="both"/>
        <w:rPr>
          <w:rFonts w:cstheme="minorHAnsi"/>
          <w:sz w:val="28"/>
          <w:szCs w:val="28"/>
        </w:rPr>
      </w:pPr>
      <w:r>
        <w:rPr>
          <w:rFonts w:cstheme="minorHAnsi"/>
          <w:sz w:val="28"/>
          <w:szCs w:val="28"/>
        </w:rPr>
        <w:t>He strongly argued that</w:t>
      </w:r>
      <w:r w:rsidR="00340826">
        <w:rPr>
          <w:rFonts w:cstheme="minorHAnsi"/>
          <w:sz w:val="28"/>
          <w:szCs w:val="28"/>
        </w:rPr>
        <w:t xml:space="preserve"> the</w:t>
      </w:r>
      <w:r>
        <w:rPr>
          <w:rFonts w:cstheme="minorHAnsi"/>
          <w:sz w:val="28"/>
          <w:szCs w:val="28"/>
        </w:rPr>
        <w:t xml:space="preserve"> grounds were meritorious with a high likelihood of success.  On </w:t>
      </w:r>
      <w:r w:rsidR="00AA43A2">
        <w:rPr>
          <w:rFonts w:cstheme="minorHAnsi"/>
          <w:sz w:val="28"/>
          <w:szCs w:val="28"/>
        </w:rPr>
        <w:t>the question</w:t>
      </w:r>
      <w:r>
        <w:rPr>
          <w:rFonts w:cstheme="minorHAnsi"/>
          <w:sz w:val="28"/>
          <w:szCs w:val="28"/>
        </w:rPr>
        <w:t xml:space="preserve"> whether the application was brought without undue delay, counsel contended that a notice of appeal and a letter requesting for a typed record and ruling were filed within 14 days which did </w:t>
      </w:r>
      <w:r w:rsidR="00AA43A2">
        <w:rPr>
          <w:rFonts w:cstheme="minorHAnsi"/>
          <w:sz w:val="28"/>
          <w:szCs w:val="28"/>
        </w:rPr>
        <w:t>not constitute</w:t>
      </w:r>
      <w:r>
        <w:rPr>
          <w:rFonts w:cstheme="minorHAnsi"/>
          <w:sz w:val="28"/>
          <w:szCs w:val="28"/>
        </w:rPr>
        <w:t xml:space="preserve"> delay, although the application itself was filed 2 months after the ruling because of issues to do with Covid-19 pandemic.</w:t>
      </w:r>
      <w:r w:rsidR="00AA43A2">
        <w:rPr>
          <w:rFonts w:cstheme="minorHAnsi"/>
          <w:sz w:val="28"/>
          <w:szCs w:val="28"/>
        </w:rPr>
        <w:t xml:space="preserve"> </w:t>
      </w:r>
    </w:p>
    <w:p w:rsidR="000F3C3C" w:rsidRDefault="00AA43A2" w:rsidP="004E5CE3">
      <w:pPr>
        <w:jc w:val="both"/>
        <w:rPr>
          <w:rFonts w:cstheme="minorHAnsi"/>
          <w:sz w:val="28"/>
          <w:szCs w:val="28"/>
        </w:rPr>
      </w:pPr>
      <w:r>
        <w:rPr>
          <w:rFonts w:cstheme="minorHAnsi"/>
          <w:sz w:val="28"/>
          <w:szCs w:val="28"/>
        </w:rPr>
        <w:t>In response to the above submissions, counsel for the respondent contended that, the applicant was using the legal process to avoid an obligation to pay the workers which this court should not encourage.  It was his</w:t>
      </w:r>
      <w:r w:rsidR="006271A2">
        <w:rPr>
          <w:rFonts w:cstheme="minorHAnsi"/>
          <w:sz w:val="28"/>
          <w:szCs w:val="28"/>
        </w:rPr>
        <w:t xml:space="preserve"> contention that the provision in the contract providing for settlement by Arbitration in Rome, being the basis of the grounds of the intended appeal was ably determined by this court, and considering that </w:t>
      </w:r>
      <w:r w:rsidR="006271A2">
        <w:rPr>
          <w:rFonts w:cstheme="minorHAnsi"/>
          <w:b/>
          <w:sz w:val="28"/>
          <w:szCs w:val="28"/>
        </w:rPr>
        <w:t>Section 9 of the Arbitration &amp; conciliation Act</w:t>
      </w:r>
      <w:r w:rsidR="006271A2">
        <w:rPr>
          <w:rFonts w:cstheme="minorHAnsi"/>
          <w:sz w:val="28"/>
          <w:szCs w:val="28"/>
        </w:rPr>
        <w:t xml:space="preserve"> provides that the Act does not apply </w:t>
      </w:r>
      <w:r w:rsidR="00A33E47">
        <w:rPr>
          <w:rFonts w:cstheme="minorHAnsi"/>
          <w:sz w:val="28"/>
          <w:szCs w:val="28"/>
        </w:rPr>
        <w:t xml:space="preserve">to the Industrial </w:t>
      </w:r>
      <w:r w:rsidR="003863AB">
        <w:rPr>
          <w:rFonts w:cstheme="minorHAnsi"/>
          <w:sz w:val="28"/>
          <w:szCs w:val="28"/>
        </w:rPr>
        <w:t>court, the</w:t>
      </w:r>
      <w:r w:rsidR="006271A2">
        <w:rPr>
          <w:rFonts w:cstheme="minorHAnsi"/>
          <w:sz w:val="28"/>
          <w:szCs w:val="28"/>
        </w:rPr>
        <w:t xml:space="preserve"> intended appeal was devoid of merit.</w:t>
      </w:r>
    </w:p>
    <w:p w:rsidR="006271A2" w:rsidRDefault="006271A2" w:rsidP="004E5CE3">
      <w:pPr>
        <w:jc w:val="both"/>
        <w:rPr>
          <w:rFonts w:cstheme="minorHAnsi"/>
          <w:b/>
          <w:sz w:val="28"/>
          <w:szCs w:val="28"/>
          <w:u w:val="single"/>
        </w:rPr>
      </w:pPr>
      <w:r w:rsidRPr="006271A2">
        <w:rPr>
          <w:rFonts w:cstheme="minorHAnsi"/>
          <w:b/>
          <w:sz w:val="28"/>
          <w:szCs w:val="28"/>
          <w:u w:val="single"/>
        </w:rPr>
        <w:lastRenderedPageBreak/>
        <w:t xml:space="preserve">Decision </w:t>
      </w:r>
    </w:p>
    <w:p w:rsidR="006271A2" w:rsidRDefault="006271A2" w:rsidP="004E5CE3">
      <w:pPr>
        <w:jc w:val="both"/>
        <w:rPr>
          <w:rFonts w:cstheme="minorHAnsi"/>
          <w:sz w:val="28"/>
          <w:szCs w:val="28"/>
        </w:rPr>
      </w:pPr>
      <w:r>
        <w:rPr>
          <w:rFonts w:cstheme="minorHAnsi"/>
          <w:sz w:val="28"/>
          <w:szCs w:val="28"/>
        </w:rPr>
        <w:t>We have considered the grounds of the application together with both the affidavit in support and in reply to the application.  We have perused and considered submiss</w:t>
      </w:r>
      <w:r w:rsidR="003A277E">
        <w:rPr>
          <w:rFonts w:cstheme="minorHAnsi"/>
          <w:sz w:val="28"/>
          <w:szCs w:val="28"/>
        </w:rPr>
        <w:t>ions of both counsel.  It is our</w:t>
      </w:r>
      <w:bookmarkStart w:id="0" w:name="_GoBack"/>
      <w:bookmarkEnd w:id="0"/>
      <w:r>
        <w:rPr>
          <w:rFonts w:cstheme="minorHAnsi"/>
          <w:sz w:val="28"/>
          <w:szCs w:val="28"/>
        </w:rPr>
        <w:t xml:space="preserve"> decision that the question of jurisdiction of this court </w:t>
      </w:r>
      <w:r w:rsidR="00A33E47">
        <w:rPr>
          <w:rFonts w:cstheme="minorHAnsi"/>
          <w:sz w:val="28"/>
          <w:szCs w:val="28"/>
        </w:rPr>
        <w:t>w</w:t>
      </w:r>
      <w:r>
        <w:rPr>
          <w:rFonts w:cstheme="minorHAnsi"/>
          <w:sz w:val="28"/>
          <w:szCs w:val="28"/>
        </w:rPr>
        <w:t>as resolved while handling the preliminary objection.</w:t>
      </w:r>
    </w:p>
    <w:p w:rsidR="00C6477A" w:rsidRDefault="006271A2" w:rsidP="004E5CE3">
      <w:pPr>
        <w:jc w:val="both"/>
        <w:rPr>
          <w:rFonts w:cstheme="minorHAnsi"/>
          <w:sz w:val="28"/>
          <w:szCs w:val="28"/>
        </w:rPr>
      </w:pPr>
      <w:r>
        <w:rPr>
          <w:rFonts w:cstheme="minorHAnsi"/>
          <w:sz w:val="28"/>
          <w:szCs w:val="28"/>
        </w:rPr>
        <w:t>This application arising from a decision of this court from which there is no entitlement as of right to appeal, means that allowing it is at the discretion of this court.  The discretion of this court can only be exercised judiciously considering the repercussions</w:t>
      </w:r>
      <w:r w:rsidR="00A77970">
        <w:rPr>
          <w:rFonts w:cstheme="minorHAnsi"/>
          <w:sz w:val="28"/>
          <w:szCs w:val="28"/>
        </w:rPr>
        <w:t xml:space="preserve"> of the exercise of the discretion.</w:t>
      </w:r>
    </w:p>
    <w:p w:rsidR="006271A2" w:rsidRDefault="00C6477A" w:rsidP="004E5CE3">
      <w:pPr>
        <w:jc w:val="both"/>
        <w:rPr>
          <w:rFonts w:cstheme="minorHAnsi"/>
          <w:sz w:val="28"/>
          <w:szCs w:val="28"/>
        </w:rPr>
      </w:pPr>
      <w:r>
        <w:rPr>
          <w:rFonts w:cstheme="minorHAnsi"/>
          <w:sz w:val="28"/>
          <w:szCs w:val="28"/>
        </w:rPr>
        <w:t>The ruling</w:t>
      </w:r>
      <w:r w:rsidR="00A33E47">
        <w:rPr>
          <w:rFonts w:cstheme="minorHAnsi"/>
          <w:sz w:val="28"/>
          <w:szCs w:val="28"/>
        </w:rPr>
        <w:t xml:space="preserve"> against</w:t>
      </w:r>
      <w:r w:rsidR="00CC462E">
        <w:rPr>
          <w:rFonts w:cstheme="minorHAnsi"/>
          <w:sz w:val="28"/>
          <w:szCs w:val="28"/>
        </w:rPr>
        <w:t xml:space="preserve"> which the claimant seeks t</w:t>
      </w:r>
      <w:r>
        <w:rPr>
          <w:rFonts w:cstheme="minorHAnsi"/>
          <w:sz w:val="28"/>
          <w:szCs w:val="28"/>
        </w:rPr>
        <w:t xml:space="preserve">o appeal to the court of appeal, was against a preliminary objection that sought this court to refer the matter to Rome simply because the contract provided so and this court </w:t>
      </w:r>
      <w:r w:rsidR="009F7653">
        <w:rPr>
          <w:rFonts w:cstheme="minorHAnsi"/>
          <w:sz w:val="28"/>
          <w:szCs w:val="28"/>
        </w:rPr>
        <w:t>ordered that</w:t>
      </w:r>
      <w:r>
        <w:rPr>
          <w:rFonts w:cstheme="minorHAnsi"/>
          <w:sz w:val="28"/>
          <w:szCs w:val="28"/>
        </w:rPr>
        <w:t xml:space="preserve"> it had jurisdiction to hear the merits of the case.</w:t>
      </w:r>
      <w:r w:rsidR="006271A2">
        <w:rPr>
          <w:rFonts w:cstheme="minorHAnsi"/>
          <w:sz w:val="28"/>
          <w:szCs w:val="28"/>
        </w:rPr>
        <w:t xml:space="preserve"> </w:t>
      </w:r>
      <w:r w:rsidR="009F7653">
        <w:rPr>
          <w:rFonts w:cstheme="minorHAnsi"/>
          <w:sz w:val="28"/>
          <w:szCs w:val="28"/>
        </w:rPr>
        <w:t xml:space="preserve"> In</w:t>
      </w:r>
      <w:r w:rsidR="00064214">
        <w:rPr>
          <w:rFonts w:cstheme="minorHAnsi"/>
          <w:sz w:val="28"/>
          <w:szCs w:val="28"/>
        </w:rPr>
        <w:t xml:space="preserve"> a</w:t>
      </w:r>
      <w:r w:rsidR="009F7653">
        <w:rPr>
          <w:rFonts w:cstheme="minorHAnsi"/>
          <w:sz w:val="28"/>
          <w:szCs w:val="28"/>
        </w:rPr>
        <w:t xml:space="preserve"> similar application on a preliminary objection, this court in </w:t>
      </w:r>
      <w:r w:rsidR="009F7653" w:rsidRPr="00A33E47">
        <w:rPr>
          <w:rFonts w:cstheme="minorHAnsi"/>
          <w:b/>
          <w:sz w:val="28"/>
          <w:szCs w:val="28"/>
        </w:rPr>
        <w:t>LDR No. 189/2015</w:t>
      </w:r>
      <w:r w:rsidR="009F7653">
        <w:rPr>
          <w:rFonts w:cstheme="minorHAnsi"/>
          <w:sz w:val="28"/>
          <w:szCs w:val="28"/>
        </w:rPr>
        <w:t xml:space="preserve"> stated </w:t>
      </w:r>
      <w:r w:rsidR="009F7653" w:rsidRPr="009F7653">
        <w:rPr>
          <w:rFonts w:cstheme="minorHAnsi"/>
          <w:b/>
          <w:sz w:val="28"/>
          <w:szCs w:val="28"/>
        </w:rPr>
        <w:t>“</w:t>
      </w:r>
      <w:r w:rsidR="009F7653">
        <w:rPr>
          <w:rFonts w:cstheme="minorHAnsi"/>
          <w:b/>
          <w:sz w:val="28"/>
          <w:szCs w:val="28"/>
        </w:rPr>
        <w:t>The respondent has a right of appeal in the main claim and will be at liberty to raise the issue in the main Appeal.”</w:t>
      </w:r>
      <w:r w:rsidR="009F7653">
        <w:rPr>
          <w:rFonts w:cstheme="minorHAnsi"/>
          <w:sz w:val="28"/>
          <w:szCs w:val="28"/>
        </w:rPr>
        <w:t xml:space="preserve"> Reflecting on the above statement, we strongly feel that hearing the matter in this court on the merits will see the justice of the case served since lack of jurisdiction of this court will most likely form the main ground of the Appeal </w:t>
      </w:r>
      <w:r w:rsidR="00A33E47">
        <w:rPr>
          <w:rFonts w:cstheme="minorHAnsi"/>
          <w:sz w:val="28"/>
          <w:szCs w:val="28"/>
        </w:rPr>
        <w:t>in the court of Appeal, should th</w:t>
      </w:r>
      <w:r w:rsidR="009F7653">
        <w:rPr>
          <w:rFonts w:cstheme="minorHAnsi"/>
          <w:sz w:val="28"/>
          <w:szCs w:val="28"/>
        </w:rPr>
        <w:t xml:space="preserve">e applicant </w:t>
      </w:r>
      <w:r w:rsidR="00A33E47">
        <w:rPr>
          <w:rFonts w:cstheme="minorHAnsi"/>
          <w:sz w:val="28"/>
          <w:szCs w:val="28"/>
        </w:rPr>
        <w:t>find it plausible and necessary.  It</w:t>
      </w:r>
      <w:r w:rsidR="009F7653">
        <w:rPr>
          <w:rFonts w:cstheme="minorHAnsi"/>
          <w:sz w:val="28"/>
          <w:szCs w:val="28"/>
        </w:rPr>
        <w:t xml:space="preserve"> will save this court and the parties the probability of the court of A</w:t>
      </w:r>
      <w:r w:rsidR="00A33E47">
        <w:rPr>
          <w:rFonts w:cstheme="minorHAnsi"/>
          <w:sz w:val="28"/>
          <w:szCs w:val="28"/>
        </w:rPr>
        <w:t>ppeal, sending the matter back t</w:t>
      </w:r>
      <w:r w:rsidR="009F7653">
        <w:rPr>
          <w:rFonts w:cstheme="minorHAnsi"/>
          <w:sz w:val="28"/>
          <w:szCs w:val="28"/>
        </w:rPr>
        <w:t>o this court for hearing once found with jurisdiction to hear the same.</w:t>
      </w:r>
      <w:r w:rsidR="00A33E47">
        <w:rPr>
          <w:rFonts w:cstheme="minorHAnsi"/>
          <w:sz w:val="28"/>
          <w:szCs w:val="28"/>
        </w:rPr>
        <w:t xml:space="preserve"> The repercussion of allowing the </w:t>
      </w:r>
      <w:r w:rsidR="003863AB">
        <w:rPr>
          <w:rFonts w:cstheme="minorHAnsi"/>
          <w:sz w:val="28"/>
          <w:szCs w:val="28"/>
        </w:rPr>
        <w:t>application therefore will</w:t>
      </w:r>
      <w:r w:rsidR="00A33E47">
        <w:rPr>
          <w:rFonts w:cstheme="minorHAnsi"/>
          <w:sz w:val="28"/>
          <w:szCs w:val="28"/>
        </w:rPr>
        <w:t xml:space="preserve"> be increase of back log in this Court which will not add value.</w:t>
      </w:r>
    </w:p>
    <w:p w:rsidR="009F7653" w:rsidRDefault="009F7653" w:rsidP="004E5CE3">
      <w:pPr>
        <w:jc w:val="both"/>
        <w:rPr>
          <w:rFonts w:cstheme="minorHAnsi"/>
          <w:sz w:val="28"/>
          <w:szCs w:val="28"/>
        </w:rPr>
      </w:pPr>
      <w:r>
        <w:rPr>
          <w:rFonts w:cstheme="minorHAnsi"/>
          <w:sz w:val="28"/>
          <w:szCs w:val="28"/>
        </w:rPr>
        <w:t>In the circumstances, the discretion of this court is inclined towards hearing this matter and com</w:t>
      </w:r>
      <w:r w:rsidR="00F72109">
        <w:rPr>
          <w:rFonts w:cstheme="minorHAnsi"/>
          <w:sz w:val="28"/>
          <w:szCs w:val="28"/>
        </w:rPr>
        <w:t xml:space="preserve">pleting it on its merits so that the court of Appeal finally determines </w:t>
      </w:r>
      <w:r w:rsidR="00177E77">
        <w:rPr>
          <w:rFonts w:cstheme="minorHAnsi"/>
          <w:sz w:val="28"/>
          <w:szCs w:val="28"/>
        </w:rPr>
        <w:t>the merits</w:t>
      </w:r>
      <w:r w:rsidR="00F72109">
        <w:rPr>
          <w:rFonts w:cstheme="minorHAnsi"/>
          <w:sz w:val="28"/>
          <w:szCs w:val="28"/>
        </w:rPr>
        <w:t xml:space="preserve"> rather than determining a preliminary objection.  In our view this services the justice of the case.  Consequently we are not convinced that the application has merits and we agree with the respondent that it fails.</w:t>
      </w:r>
    </w:p>
    <w:p w:rsidR="00F72109" w:rsidRDefault="00F72109" w:rsidP="004E5CE3">
      <w:pPr>
        <w:jc w:val="both"/>
        <w:rPr>
          <w:rFonts w:cstheme="minorHAnsi"/>
          <w:sz w:val="28"/>
          <w:szCs w:val="28"/>
        </w:rPr>
      </w:pPr>
      <w:r>
        <w:rPr>
          <w:rFonts w:cstheme="minorHAnsi"/>
          <w:sz w:val="28"/>
          <w:szCs w:val="28"/>
        </w:rPr>
        <w:t xml:space="preserve">We are of the strong considered view that the applicant ought to have known that the merits of the case would satisfy </w:t>
      </w:r>
      <w:r w:rsidR="00177E77">
        <w:rPr>
          <w:rFonts w:cstheme="minorHAnsi"/>
          <w:sz w:val="28"/>
          <w:szCs w:val="28"/>
        </w:rPr>
        <w:t>the justice</w:t>
      </w:r>
      <w:r>
        <w:rPr>
          <w:rFonts w:cstheme="minorHAnsi"/>
          <w:sz w:val="28"/>
          <w:szCs w:val="28"/>
        </w:rPr>
        <w:t xml:space="preserve"> of the case and so not indulge into </w:t>
      </w:r>
      <w:r>
        <w:rPr>
          <w:rFonts w:cstheme="minorHAnsi"/>
          <w:sz w:val="28"/>
          <w:szCs w:val="28"/>
        </w:rPr>
        <w:lastRenderedPageBreak/>
        <w:t>filing this application and as a result the application is dismissed with costs to the respondent.</w:t>
      </w:r>
    </w:p>
    <w:p w:rsidR="00177E77" w:rsidRPr="008E7ABC" w:rsidRDefault="00177E77" w:rsidP="00177E77">
      <w:pPr>
        <w:spacing w:after="0"/>
        <w:ind w:left="90"/>
        <w:jc w:val="both"/>
        <w:rPr>
          <w:rFonts w:cstheme="minorHAnsi"/>
          <w:b/>
          <w:sz w:val="28"/>
          <w:szCs w:val="28"/>
          <w:u w:val="single"/>
        </w:rPr>
      </w:pPr>
      <w:r>
        <w:rPr>
          <w:rFonts w:cstheme="minorHAnsi"/>
          <w:b/>
          <w:sz w:val="28"/>
          <w:szCs w:val="28"/>
          <w:u w:val="single"/>
        </w:rPr>
        <w:t>Delivered &amp; signed by:</w:t>
      </w:r>
    </w:p>
    <w:p w:rsidR="00177E77" w:rsidRPr="008E7ABC" w:rsidRDefault="00177E77" w:rsidP="00177E77">
      <w:pPr>
        <w:pStyle w:val="ListParagraph"/>
        <w:numPr>
          <w:ilvl w:val="0"/>
          <w:numId w:val="4"/>
        </w:numPr>
        <w:spacing w:after="0"/>
        <w:jc w:val="both"/>
        <w:rPr>
          <w:rFonts w:cstheme="minorHAnsi"/>
          <w:sz w:val="28"/>
          <w:szCs w:val="28"/>
        </w:rPr>
      </w:pPr>
      <w:r w:rsidRPr="008E7ABC">
        <w:rPr>
          <w:rFonts w:cstheme="minorHAnsi"/>
          <w:sz w:val="28"/>
          <w:szCs w:val="28"/>
        </w:rPr>
        <w:t xml:space="preserve">Hon. Chief Judge </w:t>
      </w:r>
      <w:proofErr w:type="spellStart"/>
      <w:r w:rsidRPr="008E7ABC">
        <w:rPr>
          <w:rFonts w:cstheme="minorHAnsi"/>
          <w:sz w:val="28"/>
          <w:szCs w:val="28"/>
        </w:rPr>
        <w:t>Ruhinda</w:t>
      </w:r>
      <w:proofErr w:type="spellEnd"/>
      <w:r w:rsidRPr="008E7ABC">
        <w:rPr>
          <w:rFonts w:cstheme="minorHAnsi"/>
          <w:sz w:val="28"/>
          <w:szCs w:val="28"/>
        </w:rPr>
        <w:t xml:space="preserve"> Asaph </w:t>
      </w:r>
      <w:proofErr w:type="spellStart"/>
      <w:r w:rsidRPr="008E7ABC">
        <w:rPr>
          <w:rFonts w:cstheme="minorHAnsi"/>
          <w:sz w:val="28"/>
          <w:szCs w:val="28"/>
        </w:rPr>
        <w:t>Ntengye</w:t>
      </w:r>
      <w:proofErr w:type="spellEnd"/>
      <w:r>
        <w:rPr>
          <w:rFonts w:cstheme="minorHAnsi"/>
          <w:sz w:val="28"/>
          <w:szCs w:val="28"/>
        </w:rPr>
        <w:tab/>
        <w:t>……………………….</w:t>
      </w:r>
    </w:p>
    <w:p w:rsidR="00177E77" w:rsidRPr="008E7ABC" w:rsidRDefault="00177E77" w:rsidP="00177E77">
      <w:pPr>
        <w:pStyle w:val="ListParagraph"/>
        <w:numPr>
          <w:ilvl w:val="0"/>
          <w:numId w:val="4"/>
        </w:numPr>
        <w:spacing w:after="0"/>
        <w:jc w:val="both"/>
        <w:rPr>
          <w:rFonts w:cstheme="minorHAnsi"/>
          <w:sz w:val="28"/>
          <w:szCs w:val="28"/>
        </w:rPr>
      </w:pPr>
      <w:r w:rsidRPr="008E7ABC">
        <w:rPr>
          <w:rFonts w:cstheme="minorHAnsi"/>
          <w:sz w:val="28"/>
          <w:szCs w:val="28"/>
        </w:rPr>
        <w:t xml:space="preserve">Hon. Lady Justice Linda </w:t>
      </w:r>
      <w:proofErr w:type="spellStart"/>
      <w:r w:rsidRPr="008E7ABC">
        <w:rPr>
          <w:rFonts w:cstheme="minorHAnsi"/>
          <w:sz w:val="28"/>
          <w:szCs w:val="28"/>
        </w:rPr>
        <w:t>Tumusiime</w:t>
      </w:r>
      <w:proofErr w:type="spellEnd"/>
      <w:r w:rsidRPr="008E7ABC">
        <w:rPr>
          <w:rFonts w:cstheme="minorHAnsi"/>
          <w:sz w:val="28"/>
          <w:szCs w:val="28"/>
        </w:rPr>
        <w:t xml:space="preserve"> </w:t>
      </w:r>
      <w:proofErr w:type="spellStart"/>
      <w:r w:rsidRPr="008E7ABC">
        <w:rPr>
          <w:rFonts w:cstheme="minorHAnsi"/>
          <w:sz w:val="28"/>
          <w:szCs w:val="28"/>
        </w:rPr>
        <w:t>Mugisha</w:t>
      </w:r>
      <w:proofErr w:type="spellEnd"/>
      <w:r>
        <w:rPr>
          <w:rFonts w:cstheme="minorHAnsi"/>
          <w:sz w:val="28"/>
          <w:szCs w:val="28"/>
        </w:rPr>
        <w:tab/>
        <w:t>……………………….</w:t>
      </w:r>
    </w:p>
    <w:p w:rsidR="00177E77" w:rsidRPr="008E7ABC" w:rsidRDefault="00177E77" w:rsidP="00177E77">
      <w:pPr>
        <w:spacing w:after="0"/>
        <w:ind w:left="90"/>
        <w:jc w:val="both"/>
        <w:rPr>
          <w:rFonts w:cstheme="minorHAnsi"/>
          <w:sz w:val="28"/>
          <w:szCs w:val="28"/>
        </w:rPr>
      </w:pPr>
    </w:p>
    <w:p w:rsidR="00177E77" w:rsidRPr="008E7ABC" w:rsidRDefault="00177E77" w:rsidP="00177E77">
      <w:pPr>
        <w:spacing w:after="0"/>
        <w:ind w:left="90"/>
        <w:jc w:val="both"/>
        <w:rPr>
          <w:rFonts w:cstheme="minorHAnsi"/>
          <w:b/>
          <w:sz w:val="28"/>
          <w:szCs w:val="28"/>
          <w:u w:val="single"/>
        </w:rPr>
      </w:pPr>
      <w:r w:rsidRPr="008E7ABC">
        <w:rPr>
          <w:rFonts w:cstheme="minorHAnsi"/>
          <w:b/>
          <w:sz w:val="28"/>
          <w:szCs w:val="28"/>
          <w:u w:val="single"/>
        </w:rPr>
        <w:t>PANELISTS</w:t>
      </w:r>
    </w:p>
    <w:p w:rsidR="00177E77" w:rsidRPr="008E7ABC" w:rsidRDefault="00177E77" w:rsidP="00177E77">
      <w:pPr>
        <w:pStyle w:val="ListParagraph"/>
        <w:numPr>
          <w:ilvl w:val="0"/>
          <w:numId w:val="6"/>
        </w:numPr>
        <w:spacing w:after="0"/>
        <w:jc w:val="both"/>
        <w:rPr>
          <w:rFonts w:cstheme="minorHAnsi"/>
          <w:sz w:val="28"/>
          <w:szCs w:val="28"/>
        </w:rPr>
      </w:pPr>
      <w:r>
        <w:rPr>
          <w:rFonts w:cstheme="minorHAnsi"/>
          <w:sz w:val="28"/>
          <w:szCs w:val="28"/>
        </w:rPr>
        <w:t>Ms</w:t>
      </w:r>
      <w:r w:rsidRPr="008E7ABC">
        <w:rPr>
          <w:rFonts w:cstheme="minorHAnsi"/>
          <w:sz w:val="28"/>
          <w:szCs w:val="28"/>
        </w:rPr>
        <w:t xml:space="preserve">. </w:t>
      </w:r>
      <w:proofErr w:type="spellStart"/>
      <w:r>
        <w:rPr>
          <w:rFonts w:cstheme="minorHAnsi"/>
          <w:sz w:val="28"/>
          <w:szCs w:val="28"/>
        </w:rPr>
        <w:t>Adrine</w:t>
      </w:r>
      <w:proofErr w:type="spellEnd"/>
      <w:r>
        <w:rPr>
          <w:rFonts w:cstheme="minorHAnsi"/>
          <w:sz w:val="28"/>
          <w:szCs w:val="28"/>
        </w:rPr>
        <w:t xml:space="preserve"> </w:t>
      </w:r>
      <w:proofErr w:type="spellStart"/>
      <w:r>
        <w:rPr>
          <w:rFonts w:cstheme="minorHAnsi"/>
          <w:sz w:val="28"/>
          <w:szCs w:val="28"/>
        </w:rPr>
        <w:t>Namara</w:t>
      </w:r>
      <w:proofErr w:type="spellEnd"/>
      <w:r>
        <w:rPr>
          <w:rFonts w:cstheme="minorHAnsi"/>
          <w:sz w:val="28"/>
          <w:szCs w:val="28"/>
        </w:rPr>
        <w:tab/>
      </w:r>
      <w:r>
        <w:rPr>
          <w:rFonts w:cstheme="minorHAnsi"/>
          <w:sz w:val="28"/>
          <w:szCs w:val="28"/>
        </w:rPr>
        <w:tab/>
        <w:t>……………………….</w:t>
      </w:r>
    </w:p>
    <w:p w:rsidR="00177E77" w:rsidRPr="008E7ABC" w:rsidRDefault="00177E77" w:rsidP="00177E77">
      <w:pPr>
        <w:pStyle w:val="ListParagraph"/>
        <w:numPr>
          <w:ilvl w:val="0"/>
          <w:numId w:val="6"/>
        </w:numPr>
        <w:spacing w:after="0"/>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Ma</w:t>
      </w:r>
      <w:r>
        <w:rPr>
          <w:rFonts w:cstheme="minorHAnsi"/>
          <w:sz w:val="28"/>
          <w:szCs w:val="28"/>
        </w:rPr>
        <w:t>tovu</w:t>
      </w:r>
      <w:proofErr w:type="spellEnd"/>
      <w:r>
        <w:rPr>
          <w:rFonts w:cstheme="minorHAnsi"/>
          <w:sz w:val="28"/>
          <w:szCs w:val="28"/>
        </w:rPr>
        <w:t xml:space="preserve"> Michael</w:t>
      </w:r>
      <w:r>
        <w:rPr>
          <w:rFonts w:cstheme="minorHAnsi"/>
          <w:sz w:val="28"/>
          <w:szCs w:val="28"/>
        </w:rPr>
        <w:tab/>
      </w:r>
      <w:r>
        <w:rPr>
          <w:rFonts w:cstheme="minorHAnsi"/>
          <w:sz w:val="28"/>
          <w:szCs w:val="28"/>
        </w:rPr>
        <w:tab/>
        <w:t>……………………….</w:t>
      </w:r>
    </w:p>
    <w:p w:rsidR="00177E77" w:rsidRDefault="00177E77" w:rsidP="00177E77">
      <w:pPr>
        <w:pStyle w:val="ListParagraph"/>
        <w:numPr>
          <w:ilvl w:val="0"/>
          <w:numId w:val="6"/>
        </w:numPr>
        <w:spacing w:after="0"/>
        <w:jc w:val="both"/>
        <w:rPr>
          <w:rFonts w:cstheme="minorHAnsi"/>
          <w:sz w:val="28"/>
          <w:szCs w:val="28"/>
        </w:rPr>
      </w:pPr>
      <w:r w:rsidRPr="008E7ABC">
        <w:rPr>
          <w:rFonts w:cstheme="minorHAnsi"/>
          <w:sz w:val="28"/>
          <w:szCs w:val="28"/>
        </w:rPr>
        <w:t xml:space="preserve">Ms. </w:t>
      </w:r>
      <w:r>
        <w:rPr>
          <w:rFonts w:cstheme="minorHAnsi"/>
          <w:sz w:val="28"/>
          <w:szCs w:val="28"/>
        </w:rPr>
        <w:t xml:space="preserve">Susan </w:t>
      </w:r>
      <w:proofErr w:type="spellStart"/>
      <w:r>
        <w:rPr>
          <w:rFonts w:cstheme="minorHAnsi"/>
          <w:sz w:val="28"/>
          <w:szCs w:val="28"/>
        </w:rPr>
        <w:t>Nabirye</w:t>
      </w:r>
      <w:proofErr w:type="spellEnd"/>
      <w:r>
        <w:rPr>
          <w:rFonts w:cstheme="minorHAnsi"/>
          <w:sz w:val="28"/>
          <w:szCs w:val="28"/>
        </w:rPr>
        <w:tab/>
      </w:r>
      <w:r>
        <w:rPr>
          <w:rFonts w:cstheme="minorHAnsi"/>
          <w:sz w:val="28"/>
          <w:szCs w:val="28"/>
        </w:rPr>
        <w:tab/>
        <w:t>……………………….</w:t>
      </w:r>
    </w:p>
    <w:p w:rsidR="00047FBE" w:rsidRDefault="00047FBE" w:rsidP="004E5CE3">
      <w:pPr>
        <w:jc w:val="both"/>
        <w:rPr>
          <w:rFonts w:cstheme="minorHAnsi"/>
          <w:sz w:val="28"/>
          <w:szCs w:val="28"/>
        </w:rPr>
      </w:pPr>
    </w:p>
    <w:p w:rsidR="00047FBE" w:rsidRDefault="003863AB" w:rsidP="004E5CE3">
      <w:pPr>
        <w:jc w:val="both"/>
        <w:rPr>
          <w:rFonts w:cstheme="minorHAnsi"/>
          <w:sz w:val="28"/>
          <w:szCs w:val="28"/>
        </w:rPr>
      </w:pPr>
      <w:r>
        <w:rPr>
          <w:rFonts w:cstheme="minorHAnsi"/>
          <w:sz w:val="28"/>
          <w:szCs w:val="28"/>
        </w:rPr>
        <w:t>Dated: 05/03/2021</w:t>
      </w:r>
      <w:r w:rsidR="00565031">
        <w:rPr>
          <w:rFonts w:cstheme="minorHAnsi"/>
          <w:sz w:val="28"/>
          <w:szCs w:val="28"/>
        </w:rPr>
        <w:t xml:space="preserve"> </w:t>
      </w:r>
    </w:p>
    <w:p w:rsidR="00177E77" w:rsidRDefault="00565031" w:rsidP="004E5CE3">
      <w:pPr>
        <w:jc w:val="both"/>
        <w:rPr>
          <w:rFonts w:cstheme="minorHAnsi"/>
          <w:sz w:val="28"/>
          <w:szCs w:val="28"/>
        </w:rPr>
      </w:pPr>
      <w:r>
        <w:rPr>
          <w:rFonts w:cstheme="minorHAnsi"/>
          <w:sz w:val="28"/>
          <w:szCs w:val="28"/>
        </w:rPr>
        <w:t xml:space="preserve">                            </w:t>
      </w:r>
    </w:p>
    <w:p w:rsidR="009F7653" w:rsidRDefault="009F7653" w:rsidP="004E5CE3">
      <w:pPr>
        <w:jc w:val="both"/>
        <w:rPr>
          <w:rFonts w:cstheme="minorHAnsi"/>
          <w:sz w:val="28"/>
          <w:szCs w:val="28"/>
        </w:rPr>
      </w:pPr>
    </w:p>
    <w:p w:rsidR="006271A2" w:rsidRPr="006271A2" w:rsidRDefault="006271A2" w:rsidP="004E5CE3">
      <w:pPr>
        <w:jc w:val="both"/>
        <w:rPr>
          <w:rFonts w:cstheme="minorHAnsi"/>
          <w:sz w:val="28"/>
          <w:szCs w:val="28"/>
        </w:rPr>
      </w:pPr>
    </w:p>
    <w:p w:rsidR="000F3C3C" w:rsidRPr="00B2015E" w:rsidRDefault="000F3C3C" w:rsidP="004E5CE3">
      <w:pPr>
        <w:jc w:val="both"/>
        <w:rPr>
          <w:rFonts w:cstheme="minorHAnsi"/>
          <w:sz w:val="28"/>
          <w:szCs w:val="28"/>
        </w:rPr>
      </w:pPr>
    </w:p>
    <w:p w:rsidR="0048684D" w:rsidRPr="0048684D" w:rsidRDefault="0048684D" w:rsidP="004E5CE3">
      <w:pPr>
        <w:jc w:val="both"/>
        <w:rPr>
          <w:b/>
        </w:rPr>
      </w:pPr>
    </w:p>
    <w:sectPr w:rsidR="0048684D" w:rsidRPr="004868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17" w:rsidRDefault="00034A17" w:rsidP="00177E77">
      <w:pPr>
        <w:spacing w:after="0" w:line="240" w:lineRule="auto"/>
      </w:pPr>
      <w:r>
        <w:separator/>
      </w:r>
    </w:p>
  </w:endnote>
  <w:endnote w:type="continuationSeparator" w:id="0">
    <w:p w:rsidR="00034A17" w:rsidRDefault="00034A17" w:rsidP="0017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42325"/>
      <w:docPartObj>
        <w:docPartGallery w:val="Page Numbers (Bottom of Page)"/>
        <w:docPartUnique/>
      </w:docPartObj>
    </w:sdtPr>
    <w:sdtEndPr>
      <w:rPr>
        <w:color w:val="7F7F7F" w:themeColor="background1" w:themeShade="7F"/>
        <w:spacing w:val="60"/>
      </w:rPr>
    </w:sdtEndPr>
    <w:sdtContent>
      <w:p w:rsidR="00177E77" w:rsidRDefault="00177E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277E" w:rsidRPr="003A277E">
          <w:rPr>
            <w:b/>
            <w:bCs/>
            <w:noProof/>
          </w:rPr>
          <w:t>4</w:t>
        </w:r>
        <w:r>
          <w:rPr>
            <w:b/>
            <w:bCs/>
            <w:noProof/>
          </w:rPr>
          <w:fldChar w:fldCharType="end"/>
        </w:r>
        <w:r>
          <w:rPr>
            <w:b/>
            <w:bCs/>
          </w:rPr>
          <w:t xml:space="preserve"> | </w:t>
        </w:r>
        <w:r>
          <w:rPr>
            <w:color w:val="7F7F7F" w:themeColor="background1" w:themeShade="7F"/>
            <w:spacing w:val="60"/>
          </w:rPr>
          <w:t>Page</w:t>
        </w:r>
      </w:p>
    </w:sdtContent>
  </w:sdt>
  <w:p w:rsidR="00177E77" w:rsidRDefault="00177E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17" w:rsidRDefault="00034A17" w:rsidP="00177E77">
      <w:pPr>
        <w:spacing w:after="0" w:line="240" w:lineRule="auto"/>
      </w:pPr>
      <w:r>
        <w:separator/>
      </w:r>
    </w:p>
  </w:footnote>
  <w:footnote w:type="continuationSeparator" w:id="0">
    <w:p w:rsidR="00034A17" w:rsidRDefault="00034A17" w:rsidP="0017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EFC4E06"/>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0550F0"/>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4D"/>
    <w:rsid w:val="00023083"/>
    <w:rsid w:val="00034A17"/>
    <w:rsid w:val="00047FBE"/>
    <w:rsid w:val="00064214"/>
    <w:rsid w:val="000B0B5D"/>
    <w:rsid w:val="000F3C3C"/>
    <w:rsid w:val="00177E77"/>
    <w:rsid w:val="00340826"/>
    <w:rsid w:val="003863AB"/>
    <w:rsid w:val="003A277E"/>
    <w:rsid w:val="003B61E5"/>
    <w:rsid w:val="0048684D"/>
    <w:rsid w:val="004E5CE3"/>
    <w:rsid w:val="00565031"/>
    <w:rsid w:val="006271A2"/>
    <w:rsid w:val="007773DA"/>
    <w:rsid w:val="007A6B32"/>
    <w:rsid w:val="00842C10"/>
    <w:rsid w:val="009F7653"/>
    <w:rsid w:val="00A33E47"/>
    <w:rsid w:val="00A6559E"/>
    <w:rsid w:val="00A77970"/>
    <w:rsid w:val="00AA43A2"/>
    <w:rsid w:val="00B2015E"/>
    <w:rsid w:val="00C6477A"/>
    <w:rsid w:val="00CC462E"/>
    <w:rsid w:val="00D923FC"/>
    <w:rsid w:val="00F72109"/>
    <w:rsid w:val="00F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D86"/>
  <w15:chartTrackingRefBased/>
  <w15:docId w15:val="{B390DF26-E5E0-4824-BB18-C415E61B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4D"/>
    <w:pPr>
      <w:ind w:left="720"/>
      <w:contextualSpacing/>
    </w:pPr>
  </w:style>
  <w:style w:type="paragraph" w:styleId="Header">
    <w:name w:val="header"/>
    <w:basedOn w:val="Normal"/>
    <w:link w:val="HeaderChar"/>
    <w:uiPriority w:val="99"/>
    <w:unhideWhenUsed/>
    <w:rsid w:val="00177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77"/>
    <w:rPr>
      <w:rFonts w:eastAsiaTheme="minorEastAsia"/>
    </w:rPr>
  </w:style>
  <w:style w:type="paragraph" w:styleId="Footer">
    <w:name w:val="footer"/>
    <w:basedOn w:val="Normal"/>
    <w:link w:val="FooterChar"/>
    <w:uiPriority w:val="99"/>
    <w:unhideWhenUsed/>
    <w:rsid w:val="0017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Personal</cp:lastModifiedBy>
  <cp:revision>10</cp:revision>
  <dcterms:created xsi:type="dcterms:W3CDTF">2021-03-02T11:42:00Z</dcterms:created>
  <dcterms:modified xsi:type="dcterms:W3CDTF">2021-03-05T08:09:00Z</dcterms:modified>
</cp:coreProperties>
</file>