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5C" w:rsidRPr="0091145C" w:rsidRDefault="0091145C" w:rsidP="0091145C">
      <w:pPr>
        <w:spacing w:after="0"/>
        <w:ind w:left="90"/>
        <w:jc w:val="center"/>
        <w:rPr>
          <w:rFonts w:cstheme="minorHAnsi"/>
          <w:b/>
          <w:sz w:val="28"/>
          <w:szCs w:val="28"/>
        </w:rPr>
      </w:pPr>
      <w:r w:rsidRPr="0091145C">
        <w:rPr>
          <w:rFonts w:cstheme="minorHAnsi"/>
          <w:b/>
          <w:sz w:val="28"/>
          <w:szCs w:val="28"/>
        </w:rPr>
        <w:t>THE REPUBLIC OF UGANDA</w:t>
      </w:r>
    </w:p>
    <w:p w:rsidR="0091145C" w:rsidRPr="0091145C" w:rsidRDefault="0091145C" w:rsidP="0091145C">
      <w:pPr>
        <w:spacing w:after="0"/>
        <w:ind w:left="90"/>
        <w:jc w:val="center"/>
        <w:rPr>
          <w:rFonts w:cstheme="minorHAnsi"/>
          <w:b/>
          <w:sz w:val="28"/>
          <w:szCs w:val="28"/>
        </w:rPr>
      </w:pPr>
      <w:r w:rsidRPr="0091145C">
        <w:rPr>
          <w:rFonts w:cstheme="minorHAnsi"/>
          <w:b/>
          <w:sz w:val="28"/>
          <w:szCs w:val="28"/>
        </w:rPr>
        <w:t>IN THE INDUSTRIAL COURT OF UGANDA AT KAMPALA</w:t>
      </w:r>
    </w:p>
    <w:p w:rsidR="0091145C" w:rsidRPr="0091145C" w:rsidRDefault="0091145C" w:rsidP="0091145C">
      <w:pPr>
        <w:spacing w:after="0"/>
        <w:ind w:left="90"/>
        <w:jc w:val="center"/>
        <w:rPr>
          <w:rFonts w:cstheme="minorHAnsi"/>
          <w:b/>
          <w:sz w:val="28"/>
          <w:szCs w:val="28"/>
        </w:rPr>
      </w:pPr>
      <w:r w:rsidRPr="0091145C">
        <w:rPr>
          <w:rFonts w:cstheme="minorHAnsi"/>
          <w:b/>
          <w:sz w:val="28"/>
          <w:szCs w:val="28"/>
        </w:rPr>
        <w:t>MISC. APPLN. NO. 041 OF 2021</w:t>
      </w:r>
    </w:p>
    <w:p w:rsidR="0091145C" w:rsidRPr="0091145C" w:rsidRDefault="0091145C" w:rsidP="0091145C">
      <w:pPr>
        <w:spacing w:after="0"/>
        <w:ind w:left="90"/>
        <w:jc w:val="center"/>
        <w:rPr>
          <w:rFonts w:cstheme="minorHAnsi"/>
          <w:b/>
          <w:sz w:val="28"/>
          <w:szCs w:val="28"/>
        </w:rPr>
      </w:pPr>
      <w:r w:rsidRPr="0091145C">
        <w:rPr>
          <w:rFonts w:cstheme="minorHAnsi"/>
          <w:b/>
          <w:sz w:val="28"/>
          <w:szCs w:val="28"/>
        </w:rPr>
        <w:t>[ARISING FROM LDC NO. 239 OF 2017]</w:t>
      </w:r>
    </w:p>
    <w:p w:rsidR="0091145C" w:rsidRPr="0091145C" w:rsidRDefault="0091145C" w:rsidP="0091145C">
      <w:pPr>
        <w:spacing w:after="0"/>
        <w:ind w:left="90"/>
        <w:jc w:val="center"/>
        <w:rPr>
          <w:rFonts w:cstheme="minorHAnsi"/>
          <w:b/>
          <w:sz w:val="28"/>
          <w:szCs w:val="28"/>
        </w:rPr>
      </w:pPr>
    </w:p>
    <w:p w:rsidR="0091145C" w:rsidRPr="0091145C" w:rsidRDefault="0091145C" w:rsidP="0091145C">
      <w:pPr>
        <w:spacing w:after="0"/>
        <w:ind w:left="90"/>
        <w:jc w:val="center"/>
        <w:rPr>
          <w:rFonts w:cstheme="minorHAnsi"/>
          <w:b/>
          <w:sz w:val="28"/>
          <w:szCs w:val="28"/>
        </w:rPr>
      </w:pPr>
      <w:r w:rsidRPr="0091145C">
        <w:rPr>
          <w:rFonts w:cstheme="minorHAnsi"/>
          <w:b/>
          <w:sz w:val="28"/>
          <w:szCs w:val="28"/>
        </w:rPr>
        <w:t>BETWEEN</w:t>
      </w:r>
    </w:p>
    <w:p w:rsidR="0091145C" w:rsidRPr="0091145C" w:rsidRDefault="0091145C" w:rsidP="0091145C">
      <w:pPr>
        <w:spacing w:after="0"/>
        <w:ind w:left="90"/>
        <w:jc w:val="center"/>
        <w:rPr>
          <w:rFonts w:cstheme="minorHAnsi"/>
          <w:b/>
          <w:sz w:val="28"/>
          <w:szCs w:val="28"/>
        </w:rPr>
      </w:pPr>
    </w:p>
    <w:p w:rsidR="0091145C" w:rsidRPr="0091145C" w:rsidRDefault="0091145C" w:rsidP="0091145C">
      <w:pPr>
        <w:spacing w:after="0"/>
        <w:rPr>
          <w:rFonts w:cstheme="minorHAnsi"/>
          <w:b/>
          <w:sz w:val="28"/>
          <w:szCs w:val="28"/>
        </w:rPr>
      </w:pPr>
      <w:r w:rsidRPr="0091145C">
        <w:rPr>
          <w:rFonts w:cstheme="minorHAnsi"/>
          <w:b/>
          <w:sz w:val="28"/>
          <w:szCs w:val="28"/>
        </w:rPr>
        <w:t>SECUREX AGENCIES (U) LTD……….……………</w:t>
      </w:r>
      <w:proofErr w:type="gramStart"/>
      <w:r w:rsidRPr="0091145C">
        <w:rPr>
          <w:rFonts w:cstheme="minorHAnsi"/>
          <w:b/>
          <w:sz w:val="28"/>
          <w:szCs w:val="28"/>
        </w:rPr>
        <w:t>…..</w:t>
      </w:r>
      <w:proofErr w:type="gramEnd"/>
      <w:r w:rsidRPr="0091145C">
        <w:rPr>
          <w:rFonts w:cstheme="minorHAnsi"/>
          <w:b/>
          <w:sz w:val="28"/>
          <w:szCs w:val="28"/>
        </w:rPr>
        <w:t>………..CLAIMANT</w:t>
      </w:r>
    </w:p>
    <w:p w:rsidR="0091145C" w:rsidRPr="0091145C" w:rsidRDefault="0091145C" w:rsidP="0091145C">
      <w:pPr>
        <w:spacing w:after="0"/>
        <w:ind w:left="90"/>
        <w:jc w:val="center"/>
        <w:rPr>
          <w:rFonts w:cstheme="minorHAnsi"/>
          <w:b/>
          <w:sz w:val="28"/>
          <w:szCs w:val="28"/>
        </w:rPr>
      </w:pPr>
    </w:p>
    <w:p w:rsidR="0091145C" w:rsidRPr="0091145C" w:rsidRDefault="0091145C" w:rsidP="0091145C">
      <w:pPr>
        <w:spacing w:after="0"/>
        <w:ind w:left="90"/>
        <w:jc w:val="center"/>
        <w:rPr>
          <w:rFonts w:cstheme="minorHAnsi"/>
          <w:b/>
          <w:sz w:val="28"/>
          <w:szCs w:val="28"/>
        </w:rPr>
      </w:pPr>
      <w:r w:rsidRPr="0091145C">
        <w:rPr>
          <w:rFonts w:cstheme="minorHAnsi"/>
          <w:b/>
          <w:sz w:val="28"/>
          <w:szCs w:val="28"/>
        </w:rPr>
        <w:t>VERSUS</w:t>
      </w:r>
    </w:p>
    <w:p w:rsidR="0091145C" w:rsidRPr="0091145C" w:rsidRDefault="0091145C" w:rsidP="0091145C">
      <w:pPr>
        <w:spacing w:after="0"/>
        <w:ind w:left="90"/>
        <w:jc w:val="center"/>
        <w:rPr>
          <w:rFonts w:cstheme="minorHAnsi"/>
          <w:b/>
          <w:sz w:val="28"/>
          <w:szCs w:val="28"/>
        </w:rPr>
      </w:pPr>
    </w:p>
    <w:p w:rsidR="0091145C" w:rsidRPr="0091145C" w:rsidRDefault="0091145C" w:rsidP="0091145C">
      <w:pPr>
        <w:spacing w:after="0"/>
        <w:rPr>
          <w:rFonts w:cstheme="minorHAnsi"/>
          <w:b/>
          <w:sz w:val="28"/>
          <w:szCs w:val="28"/>
        </w:rPr>
      </w:pPr>
      <w:r w:rsidRPr="0091145C">
        <w:rPr>
          <w:rFonts w:cstheme="minorHAnsi"/>
          <w:b/>
          <w:sz w:val="28"/>
          <w:szCs w:val="28"/>
        </w:rPr>
        <w:t>ODIKIRIA SAMUEL BAKER……………………….……….RESPONDENT</w:t>
      </w:r>
    </w:p>
    <w:p w:rsidR="0091145C" w:rsidRPr="0091145C" w:rsidRDefault="0091145C" w:rsidP="0091145C">
      <w:pPr>
        <w:spacing w:after="0"/>
        <w:rPr>
          <w:rFonts w:cstheme="minorHAnsi"/>
          <w:b/>
          <w:sz w:val="28"/>
          <w:szCs w:val="28"/>
        </w:rPr>
      </w:pPr>
    </w:p>
    <w:p w:rsidR="0091145C" w:rsidRPr="0091145C" w:rsidRDefault="0091145C" w:rsidP="0091145C">
      <w:pPr>
        <w:spacing w:after="0" w:line="240" w:lineRule="auto"/>
        <w:ind w:left="90"/>
        <w:jc w:val="both"/>
        <w:rPr>
          <w:rFonts w:cstheme="minorHAnsi"/>
          <w:b/>
          <w:sz w:val="28"/>
          <w:szCs w:val="28"/>
          <w:u w:val="single"/>
        </w:rPr>
      </w:pPr>
      <w:r w:rsidRPr="0091145C">
        <w:rPr>
          <w:rFonts w:cstheme="minorHAnsi"/>
          <w:b/>
          <w:sz w:val="28"/>
          <w:szCs w:val="28"/>
          <w:u w:val="single"/>
        </w:rPr>
        <w:t>BEFORE</w:t>
      </w:r>
    </w:p>
    <w:p w:rsidR="0091145C" w:rsidRDefault="00184B22" w:rsidP="0091145C">
      <w:pPr>
        <w:pStyle w:val="ListParagraph"/>
        <w:numPr>
          <w:ilvl w:val="0"/>
          <w:numId w:val="1"/>
        </w:numPr>
        <w:spacing w:after="0" w:line="240" w:lineRule="auto"/>
        <w:jc w:val="both"/>
        <w:rPr>
          <w:rFonts w:cstheme="minorHAnsi"/>
          <w:sz w:val="28"/>
          <w:szCs w:val="28"/>
        </w:rPr>
      </w:pPr>
      <w:proofErr w:type="spellStart"/>
      <w:proofErr w:type="gramStart"/>
      <w:r>
        <w:rPr>
          <w:rFonts w:cstheme="minorHAnsi"/>
          <w:sz w:val="28"/>
          <w:szCs w:val="28"/>
        </w:rPr>
        <w:t>Hon.</w:t>
      </w:r>
      <w:r w:rsidR="00502911">
        <w:rPr>
          <w:rFonts w:cstheme="minorHAnsi"/>
          <w:sz w:val="28"/>
          <w:szCs w:val="28"/>
        </w:rPr>
        <w:t>Chief</w:t>
      </w:r>
      <w:proofErr w:type="spellEnd"/>
      <w:r>
        <w:rPr>
          <w:rFonts w:cstheme="minorHAnsi"/>
          <w:sz w:val="28"/>
          <w:szCs w:val="28"/>
        </w:rPr>
        <w:t xml:space="preserve"> </w:t>
      </w:r>
      <w:r w:rsidR="0091145C" w:rsidRPr="0091145C">
        <w:rPr>
          <w:rFonts w:cstheme="minorHAnsi"/>
          <w:sz w:val="28"/>
          <w:szCs w:val="28"/>
        </w:rPr>
        <w:t xml:space="preserve"> Judge</w:t>
      </w:r>
      <w:proofErr w:type="gramEnd"/>
      <w:r w:rsidR="0091145C" w:rsidRPr="0091145C">
        <w:rPr>
          <w:rFonts w:cstheme="minorHAnsi"/>
          <w:sz w:val="28"/>
          <w:szCs w:val="28"/>
        </w:rPr>
        <w:t xml:space="preserve"> </w:t>
      </w:r>
      <w:proofErr w:type="spellStart"/>
      <w:r w:rsidR="0091145C" w:rsidRPr="0091145C">
        <w:rPr>
          <w:rFonts w:cstheme="minorHAnsi"/>
          <w:sz w:val="28"/>
          <w:szCs w:val="28"/>
        </w:rPr>
        <w:t>Ruhinda</w:t>
      </w:r>
      <w:proofErr w:type="spellEnd"/>
      <w:r>
        <w:rPr>
          <w:rFonts w:cstheme="minorHAnsi"/>
          <w:sz w:val="28"/>
          <w:szCs w:val="28"/>
        </w:rPr>
        <w:t xml:space="preserve"> Asaph</w:t>
      </w:r>
      <w:r w:rsidR="00502911">
        <w:rPr>
          <w:rFonts w:cstheme="minorHAnsi"/>
          <w:sz w:val="28"/>
          <w:szCs w:val="28"/>
        </w:rPr>
        <w:t xml:space="preserve"> </w:t>
      </w:r>
      <w:proofErr w:type="spellStart"/>
      <w:r w:rsidR="00502911">
        <w:rPr>
          <w:rFonts w:cstheme="minorHAnsi"/>
          <w:sz w:val="28"/>
          <w:szCs w:val="28"/>
        </w:rPr>
        <w:t>Ntengye</w:t>
      </w:r>
      <w:proofErr w:type="spellEnd"/>
      <w:r w:rsidR="00502911">
        <w:rPr>
          <w:rFonts w:cstheme="minorHAnsi"/>
          <w:sz w:val="28"/>
          <w:szCs w:val="28"/>
        </w:rPr>
        <w:t>…………………………….</w:t>
      </w:r>
    </w:p>
    <w:p w:rsidR="00502911" w:rsidRDefault="00502911" w:rsidP="0091145C">
      <w:pPr>
        <w:pStyle w:val="ListParagraph"/>
        <w:numPr>
          <w:ilvl w:val="0"/>
          <w:numId w:val="1"/>
        </w:numPr>
        <w:spacing w:after="0" w:line="240" w:lineRule="auto"/>
        <w:jc w:val="both"/>
        <w:rPr>
          <w:rFonts w:cstheme="minorHAnsi"/>
          <w:sz w:val="28"/>
          <w:szCs w:val="28"/>
        </w:rPr>
      </w:pPr>
      <w:r>
        <w:rPr>
          <w:rFonts w:cstheme="minorHAnsi"/>
          <w:sz w:val="28"/>
          <w:szCs w:val="28"/>
        </w:rPr>
        <w:t xml:space="preserve">Hon. Lady Judge Linda Lillian </w:t>
      </w:r>
      <w:proofErr w:type="spellStart"/>
      <w:r>
        <w:rPr>
          <w:rFonts w:cstheme="minorHAnsi"/>
          <w:sz w:val="28"/>
          <w:szCs w:val="28"/>
        </w:rPr>
        <w:t>Tumusiime</w:t>
      </w:r>
      <w:proofErr w:type="spellEnd"/>
      <w:r>
        <w:rPr>
          <w:rFonts w:cstheme="minorHAnsi"/>
          <w:sz w:val="28"/>
          <w:szCs w:val="28"/>
        </w:rPr>
        <w:t xml:space="preserve"> </w:t>
      </w:r>
      <w:proofErr w:type="spellStart"/>
      <w:r>
        <w:rPr>
          <w:rFonts w:cstheme="minorHAnsi"/>
          <w:sz w:val="28"/>
          <w:szCs w:val="28"/>
        </w:rPr>
        <w:t>Mugisha</w:t>
      </w:r>
      <w:proofErr w:type="spellEnd"/>
      <w:r>
        <w:rPr>
          <w:rFonts w:cstheme="minorHAnsi"/>
          <w:sz w:val="28"/>
          <w:szCs w:val="28"/>
        </w:rPr>
        <w:t>…………………….</w:t>
      </w:r>
    </w:p>
    <w:p w:rsidR="00184B22" w:rsidRPr="0091145C" w:rsidRDefault="00184B22" w:rsidP="00184B22">
      <w:pPr>
        <w:pStyle w:val="ListParagraph"/>
        <w:spacing w:after="0" w:line="240" w:lineRule="auto"/>
        <w:ind w:left="450"/>
        <w:jc w:val="both"/>
        <w:rPr>
          <w:rFonts w:cstheme="minorHAnsi"/>
          <w:sz w:val="28"/>
          <w:szCs w:val="28"/>
        </w:rPr>
      </w:pPr>
    </w:p>
    <w:p w:rsidR="0091145C" w:rsidRPr="0091145C" w:rsidRDefault="0091145C" w:rsidP="0091145C">
      <w:pPr>
        <w:spacing w:after="0" w:line="240" w:lineRule="auto"/>
        <w:ind w:left="90"/>
        <w:jc w:val="both"/>
        <w:rPr>
          <w:rFonts w:cstheme="minorHAnsi"/>
          <w:b/>
          <w:sz w:val="28"/>
          <w:szCs w:val="28"/>
          <w:u w:val="single"/>
        </w:rPr>
      </w:pPr>
      <w:r w:rsidRPr="0091145C">
        <w:rPr>
          <w:rFonts w:cstheme="minorHAnsi"/>
          <w:b/>
          <w:sz w:val="28"/>
          <w:szCs w:val="28"/>
          <w:u w:val="single"/>
        </w:rPr>
        <w:t>PANELISTS</w:t>
      </w:r>
    </w:p>
    <w:p w:rsidR="0091145C" w:rsidRPr="0091145C" w:rsidRDefault="0091145C" w:rsidP="0091145C">
      <w:pPr>
        <w:pStyle w:val="ListParagraph"/>
        <w:numPr>
          <w:ilvl w:val="0"/>
          <w:numId w:val="2"/>
        </w:numPr>
        <w:spacing w:after="0" w:line="240" w:lineRule="auto"/>
        <w:rPr>
          <w:rFonts w:cstheme="minorHAnsi"/>
          <w:sz w:val="28"/>
          <w:szCs w:val="28"/>
        </w:rPr>
      </w:pPr>
      <w:r w:rsidRPr="0091145C">
        <w:rPr>
          <w:rFonts w:cstheme="minorHAnsi"/>
          <w:sz w:val="28"/>
          <w:szCs w:val="28"/>
        </w:rPr>
        <w:t xml:space="preserve">Mr. </w:t>
      </w:r>
      <w:proofErr w:type="spellStart"/>
      <w:r w:rsidRPr="0091145C">
        <w:rPr>
          <w:rFonts w:cstheme="minorHAnsi"/>
          <w:sz w:val="28"/>
          <w:szCs w:val="28"/>
        </w:rPr>
        <w:t>Rwomushana</w:t>
      </w:r>
      <w:proofErr w:type="spellEnd"/>
      <w:r w:rsidRPr="0091145C">
        <w:rPr>
          <w:rFonts w:cstheme="minorHAnsi"/>
          <w:sz w:val="28"/>
          <w:szCs w:val="28"/>
        </w:rPr>
        <w:t xml:space="preserve"> Reuben Jack</w:t>
      </w:r>
      <w:r w:rsidR="00502911">
        <w:rPr>
          <w:rFonts w:cstheme="minorHAnsi"/>
          <w:sz w:val="28"/>
          <w:szCs w:val="28"/>
        </w:rPr>
        <w:t>…………………………………………….</w:t>
      </w:r>
    </w:p>
    <w:p w:rsidR="0091145C" w:rsidRPr="0091145C" w:rsidRDefault="0091145C" w:rsidP="0091145C">
      <w:pPr>
        <w:pStyle w:val="ListParagraph"/>
        <w:numPr>
          <w:ilvl w:val="0"/>
          <w:numId w:val="2"/>
        </w:numPr>
        <w:spacing w:after="0" w:line="240" w:lineRule="auto"/>
        <w:rPr>
          <w:rFonts w:cstheme="minorHAnsi"/>
          <w:sz w:val="28"/>
          <w:szCs w:val="28"/>
        </w:rPr>
      </w:pPr>
      <w:r w:rsidRPr="0091145C">
        <w:rPr>
          <w:rFonts w:cstheme="minorHAnsi"/>
          <w:sz w:val="28"/>
          <w:szCs w:val="28"/>
        </w:rPr>
        <w:t xml:space="preserve">Ms. Rose </w:t>
      </w:r>
      <w:proofErr w:type="spellStart"/>
      <w:r w:rsidRPr="0091145C">
        <w:rPr>
          <w:rFonts w:cstheme="minorHAnsi"/>
          <w:sz w:val="28"/>
          <w:szCs w:val="28"/>
        </w:rPr>
        <w:t>Gidongo</w:t>
      </w:r>
      <w:proofErr w:type="spellEnd"/>
      <w:r w:rsidR="00502911">
        <w:rPr>
          <w:rFonts w:cstheme="minorHAnsi"/>
          <w:sz w:val="28"/>
          <w:szCs w:val="28"/>
        </w:rPr>
        <w:t>……………………………………………….</w:t>
      </w:r>
    </w:p>
    <w:p w:rsidR="0091145C" w:rsidRPr="0091145C" w:rsidRDefault="0091145C" w:rsidP="0091145C">
      <w:pPr>
        <w:pStyle w:val="ListParagraph"/>
        <w:numPr>
          <w:ilvl w:val="0"/>
          <w:numId w:val="2"/>
        </w:numPr>
        <w:spacing w:after="0" w:line="240" w:lineRule="auto"/>
        <w:rPr>
          <w:rFonts w:cstheme="minorHAnsi"/>
          <w:b/>
          <w:sz w:val="28"/>
          <w:szCs w:val="28"/>
        </w:rPr>
      </w:pPr>
      <w:r w:rsidRPr="0091145C">
        <w:rPr>
          <w:rFonts w:cstheme="minorHAnsi"/>
          <w:sz w:val="28"/>
          <w:szCs w:val="28"/>
        </w:rPr>
        <w:t xml:space="preserve">Ms. Beatrice </w:t>
      </w:r>
      <w:proofErr w:type="spellStart"/>
      <w:r w:rsidRPr="0091145C">
        <w:rPr>
          <w:rFonts w:cstheme="minorHAnsi"/>
          <w:sz w:val="28"/>
          <w:szCs w:val="28"/>
        </w:rPr>
        <w:t>Aciro</w:t>
      </w:r>
      <w:proofErr w:type="spellEnd"/>
      <w:r w:rsidRPr="0091145C">
        <w:rPr>
          <w:rFonts w:cstheme="minorHAnsi"/>
          <w:sz w:val="28"/>
          <w:szCs w:val="28"/>
        </w:rPr>
        <w:t xml:space="preserve"> </w:t>
      </w:r>
      <w:proofErr w:type="spellStart"/>
      <w:r w:rsidRPr="0091145C">
        <w:rPr>
          <w:rFonts w:cstheme="minorHAnsi"/>
          <w:sz w:val="28"/>
          <w:szCs w:val="28"/>
        </w:rPr>
        <w:t>Okeny</w:t>
      </w:r>
      <w:proofErr w:type="spellEnd"/>
      <w:r w:rsidR="00502911">
        <w:rPr>
          <w:rFonts w:cstheme="minorHAnsi"/>
          <w:sz w:val="28"/>
          <w:szCs w:val="28"/>
        </w:rPr>
        <w:t>…………………………………………</w:t>
      </w:r>
    </w:p>
    <w:p w:rsidR="00502911" w:rsidRPr="0091145C" w:rsidRDefault="0091145C" w:rsidP="00502911">
      <w:pPr>
        <w:jc w:val="center"/>
        <w:rPr>
          <w:rFonts w:cstheme="minorHAnsi"/>
          <w:b/>
          <w:sz w:val="28"/>
          <w:szCs w:val="28"/>
          <w:u w:val="single"/>
        </w:rPr>
      </w:pPr>
      <w:r w:rsidRPr="0091145C">
        <w:rPr>
          <w:rFonts w:cstheme="minorHAnsi"/>
          <w:b/>
          <w:sz w:val="28"/>
          <w:szCs w:val="28"/>
          <w:u w:val="single"/>
        </w:rPr>
        <w:t>RULING</w:t>
      </w:r>
    </w:p>
    <w:p w:rsidR="00886BAA" w:rsidRPr="0091145C" w:rsidRDefault="0091145C" w:rsidP="0091145C">
      <w:pPr>
        <w:rPr>
          <w:rFonts w:cstheme="minorHAnsi"/>
          <w:sz w:val="28"/>
          <w:szCs w:val="28"/>
        </w:rPr>
      </w:pPr>
      <w:r w:rsidRPr="0091145C">
        <w:rPr>
          <w:rFonts w:cstheme="minorHAnsi"/>
          <w:sz w:val="28"/>
          <w:szCs w:val="28"/>
        </w:rPr>
        <w:t>This is an application by notice of motion seeking to set as</w:t>
      </w:r>
      <w:r w:rsidR="00184B22">
        <w:rPr>
          <w:rFonts w:cstheme="minorHAnsi"/>
          <w:sz w:val="28"/>
          <w:szCs w:val="28"/>
        </w:rPr>
        <w:t>ide an Award of this court heard</w:t>
      </w:r>
      <w:r w:rsidRPr="0091145C">
        <w:rPr>
          <w:rFonts w:cstheme="minorHAnsi"/>
          <w:sz w:val="28"/>
          <w:szCs w:val="28"/>
        </w:rPr>
        <w:t xml:space="preserve"> and delivered in labour dispute reference 139/2017 exparte against the applicant.</w:t>
      </w:r>
    </w:p>
    <w:p w:rsidR="0091145C" w:rsidRDefault="0091145C" w:rsidP="0091145C">
      <w:pPr>
        <w:rPr>
          <w:rFonts w:cstheme="minorHAnsi"/>
          <w:sz w:val="28"/>
          <w:szCs w:val="28"/>
        </w:rPr>
      </w:pPr>
      <w:r>
        <w:rPr>
          <w:rFonts w:cstheme="minorHAnsi"/>
          <w:sz w:val="28"/>
          <w:szCs w:val="28"/>
        </w:rPr>
        <w:t xml:space="preserve">The background of the application is that the respondent filed LDR 139/2017 for unlawful dismissal against the </w:t>
      </w:r>
      <w:r w:rsidR="00F62965">
        <w:rPr>
          <w:rFonts w:cstheme="minorHAnsi"/>
          <w:sz w:val="28"/>
          <w:szCs w:val="28"/>
        </w:rPr>
        <w:t>respondent and the matter</w:t>
      </w:r>
      <w:r w:rsidR="00184B22">
        <w:rPr>
          <w:rFonts w:cstheme="minorHAnsi"/>
          <w:sz w:val="28"/>
          <w:szCs w:val="28"/>
        </w:rPr>
        <w:t xml:space="preserve"> was fi</w:t>
      </w:r>
      <w:r>
        <w:rPr>
          <w:rFonts w:cstheme="minorHAnsi"/>
          <w:sz w:val="28"/>
          <w:szCs w:val="28"/>
        </w:rPr>
        <w:t xml:space="preserve">xed </w:t>
      </w:r>
      <w:r w:rsidR="00F62965">
        <w:rPr>
          <w:rFonts w:cstheme="minorHAnsi"/>
          <w:sz w:val="28"/>
          <w:szCs w:val="28"/>
        </w:rPr>
        <w:t>for</w:t>
      </w:r>
      <w:r>
        <w:rPr>
          <w:rFonts w:cstheme="minorHAnsi"/>
          <w:sz w:val="28"/>
          <w:szCs w:val="28"/>
        </w:rPr>
        <w:t xml:space="preserve"> hearing on 9/3/2020</w:t>
      </w:r>
      <w:r w:rsidR="00F62965">
        <w:rPr>
          <w:rFonts w:cstheme="minorHAnsi"/>
          <w:sz w:val="28"/>
          <w:szCs w:val="28"/>
        </w:rPr>
        <w:t xml:space="preserve">.  This was on 16/09/2019 in the presence of Mr. Gregory </w:t>
      </w:r>
      <w:proofErr w:type="spellStart"/>
      <w:r w:rsidR="00F62965">
        <w:rPr>
          <w:rFonts w:cstheme="minorHAnsi"/>
          <w:sz w:val="28"/>
          <w:szCs w:val="28"/>
        </w:rPr>
        <w:t>Byamukama</w:t>
      </w:r>
      <w:proofErr w:type="spellEnd"/>
      <w:r w:rsidR="00F62965">
        <w:rPr>
          <w:rFonts w:cstheme="minorHAnsi"/>
          <w:sz w:val="28"/>
          <w:szCs w:val="28"/>
        </w:rPr>
        <w:t xml:space="preserve"> as counse</w:t>
      </w:r>
      <w:r w:rsidR="00184B22">
        <w:rPr>
          <w:rFonts w:cstheme="minorHAnsi"/>
          <w:sz w:val="28"/>
          <w:szCs w:val="28"/>
        </w:rPr>
        <w:t>l for the respondent and Ms. Nai</w:t>
      </w:r>
      <w:r w:rsidR="00F62965">
        <w:rPr>
          <w:rFonts w:cstheme="minorHAnsi"/>
          <w:sz w:val="28"/>
          <w:szCs w:val="28"/>
        </w:rPr>
        <w:t>ma</w:t>
      </w:r>
      <w:r w:rsidR="00184B22">
        <w:rPr>
          <w:rFonts w:cstheme="minorHAnsi"/>
          <w:sz w:val="28"/>
          <w:szCs w:val="28"/>
        </w:rPr>
        <w:t xml:space="preserve"> </w:t>
      </w:r>
      <w:proofErr w:type="spellStart"/>
      <w:r w:rsidR="00184B22">
        <w:rPr>
          <w:rFonts w:cstheme="minorHAnsi"/>
          <w:sz w:val="28"/>
          <w:szCs w:val="28"/>
        </w:rPr>
        <w:t>Bukenya</w:t>
      </w:r>
      <w:proofErr w:type="spellEnd"/>
      <w:r w:rsidR="00184B22">
        <w:rPr>
          <w:rFonts w:cstheme="minorHAnsi"/>
          <w:sz w:val="28"/>
          <w:szCs w:val="28"/>
        </w:rPr>
        <w:t xml:space="preserve"> as counsel for the </w:t>
      </w:r>
      <w:proofErr w:type="spellStart"/>
      <w:proofErr w:type="gramStart"/>
      <w:r w:rsidR="00184B22">
        <w:rPr>
          <w:rFonts w:cstheme="minorHAnsi"/>
          <w:sz w:val="28"/>
          <w:szCs w:val="28"/>
        </w:rPr>
        <w:t>claimant.</w:t>
      </w:r>
      <w:r w:rsidR="00816E80">
        <w:rPr>
          <w:rFonts w:cstheme="minorHAnsi"/>
          <w:sz w:val="28"/>
          <w:szCs w:val="28"/>
        </w:rPr>
        <w:t>On</w:t>
      </w:r>
      <w:proofErr w:type="spellEnd"/>
      <w:proofErr w:type="gramEnd"/>
      <w:r w:rsidR="00816E80">
        <w:rPr>
          <w:rFonts w:cstheme="minorHAnsi"/>
          <w:sz w:val="28"/>
          <w:szCs w:val="28"/>
        </w:rPr>
        <w:t xml:space="preserve"> 9/3/2020 no one appeared for the respondent and </w:t>
      </w:r>
      <w:proofErr w:type="spellStart"/>
      <w:r w:rsidR="00816E80">
        <w:rPr>
          <w:rFonts w:cstheme="minorHAnsi"/>
          <w:sz w:val="28"/>
          <w:szCs w:val="28"/>
        </w:rPr>
        <w:t>Ms</w:t>
      </w:r>
      <w:proofErr w:type="spellEnd"/>
      <w:r w:rsidR="00816E80">
        <w:rPr>
          <w:rFonts w:cstheme="minorHAnsi"/>
          <w:sz w:val="28"/>
          <w:szCs w:val="28"/>
        </w:rPr>
        <w:t xml:space="preserve"> </w:t>
      </w:r>
      <w:proofErr w:type="spellStart"/>
      <w:r w:rsidR="00816E80">
        <w:rPr>
          <w:rFonts w:cstheme="minorHAnsi"/>
          <w:sz w:val="28"/>
          <w:szCs w:val="28"/>
        </w:rPr>
        <w:t>Bukenya</w:t>
      </w:r>
      <w:proofErr w:type="spellEnd"/>
      <w:r w:rsidR="00F62965">
        <w:rPr>
          <w:rFonts w:cstheme="minorHAnsi"/>
          <w:sz w:val="28"/>
          <w:szCs w:val="28"/>
        </w:rPr>
        <w:t xml:space="preserve"> applied to proceed exparte and given that there was no reason for the absence of the respondent and counsel, this court allowed the application and proceeded to </w:t>
      </w:r>
      <w:r w:rsidR="00F62965">
        <w:rPr>
          <w:rFonts w:cstheme="minorHAnsi"/>
          <w:sz w:val="28"/>
          <w:szCs w:val="28"/>
        </w:rPr>
        <w:lastRenderedPageBreak/>
        <w:t>hear the claimant and subsequently delivered an exparte Award, the subject of this application.</w:t>
      </w:r>
    </w:p>
    <w:p w:rsidR="0063225A" w:rsidRPr="0091145C" w:rsidRDefault="0063225A" w:rsidP="0063225A">
      <w:pPr>
        <w:rPr>
          <w:rFonts w:cstheme="minorHAnsi"/>
          <w:b/>
          <w:sz w:val="28"/>
          <w:szCs w:val="28"/>
          <w:u w:val="single"/>
        </w:rPr>
      </w:pPr>
      <w:r w:rsidRPr="0091145C">
        <w:rPr>
          <w:rFonts w:cstheme="minorHAnsi"/>
          <w:b/>
          <w:sz w:val="28"/>
          <w:szCs w:val="28"/>
          <w:u w:val="single"/>
        </w:rPr>
        <w:t>Representat</w:t>
      </w:r>
      <w:r>
        <w:rPr>
          <w:rFonts w:cstheme="minorHAnsi"/>
          <w:b/>
          <w:sz w:val="28"/>
          <w:szCs w:val="28"/>
          <w:u w:val="single"/>
        </w:rPr>
        <w:t>i</w:t>
      </w:r>
      <w:r w:rsidRPr="0091145C">
        <w:rPr>
          <w:rFonts w:cstheme="minorHAnsi"/>
          <w:b/>
          <w:sz w:val="28"/>
          <w:szCs w:val="28"/>
          <w:u w:val="single"/>
        </w:rPr>
        <w:t>ons</w:t>
      </w:r>
    </w:p>
    <w:p w:rsidR="0063225A" w:rsidRDefault="0063225A" w:rsidP="0063225A">
      <w:pPr>
        <w:rPr>
          <w:rFonts w:cstheme="minorHAnsi"/>
          <w:sz w:val="28"/>
          <w:szCs w:val="28"/>
        </w:rPr>
      </w:pPr>
      <w:r>
        <w:rPr>
          <w:rFonts w:cstheme="minorHAnsi"/>
          <w:sz w:val="28"/>
          <w:szCs w:val="28"/>
        </w:rPr>
        <w:t xml:space="preserve">The applicant was represented by Mr. Derick </w:t>
      </w:r>
      <w:proofErr w:type="spellStart"/>
      <w:r>
        <w:rPr>
          <w:rFonts w:cstheme="minorHAnsi"/>
          <w:sz w:val="28"/>
          <w:szCs w:val="28"/>
        </w:rPr>
        <w:t>Magezi</w:t>
      </w:r>
      <w:proofErr w:type="spellEnd"/>
      <w:r>
        <w:rPr>
          <w:rFonts w:cstheme="minorHAnsi"/>
          <w:sz w:val="28"/>
          <w:szCs w:val="28"/>
        </w:rPr>
        <w:t xml:space="preserve"> of M/s. </w:t>
      </w:r>
      <w:proofErr w:type="spellStart"/>
      <w:r>
        <w:rPr>
          <w:rFonts w:cstheme="minorHAnsi"/>
          <w:sz w:val="28"/>
          <w:szCs w:val="28"/>
        </w:rPr>
        <w:t>Muhumuza-Kiiza</w:t>
      </w:r>
      <w:proofErr w:type="spellEnd"/>
      <w:r>
        <w:rPr>
          <w:rFonts w:cstheme="minorHAnsi"/>
          <w:sz w:val="28"/>
          <w:szCs w:val="28"/>
        </w:rPr>
        <w:t xml:space="preserve">, Advocates &amp; Legal Consultants, while the respondent was represented by Ms. </w:t>
      </w:r>
      <w:proofErr w:type="spellStart"/>
      <w:r>
        <w:rPr>
          <w:rFonts w:cstheme="minorHAnsi"/>
          <w:sz w:val="28"/>
          <w:szCs w:val="28"/>
        </w:rPr>
        <w:t>Bukenya</w:t>
      </w:r>
      <w:proofErr w:type="spellEnd"/>
      <w:r>
        <w:rPr>
          <w:rFonts w:cstheme="minorHAnsi"/>
          <w:sz w:val="28"/>
          <w:szCs w:val="28"/>
        </w:rPr>
        <w:t xml:space="preserve"> </w:t>
      </w:r>
      <w:proofErr w:type="spellStart"/>
      <w:r>
        <w:rPr>
          <w:rFonts w:cstheme="minorHAnsi"/>
          <w:sz w:val="28"/>
          <w:szCs w:val="28"/>
        </w:rPr>
        <w:t>Neyma</w:t>
      </w:r>
      <w:proofErr w:type="spellEnd"/>
      <w:r>
        <w:rPr>
          <w:rFonts w:cstheme="minorHAnsi"/>
          <w:sz w:val="28"/>
          <w:szCs w:val="28"/>
        </w:rPr>
        <w:t xml:space="preserve"> of Platform for Labour Action.</w:t>
      </w:r>
    </w:p>
    <w:p w:rsidR="0063225A" w:rsidRPr="0091145C" w:rsidRDefault="0063225A" w:rsidP="0063225A">
      <w:pPr>
        <w:rPr>
          <w:rFonts w:cstheme="minorHAnsi"/>
          <w:b/>
          <w:sz w:val="28"/>
          <w:szCs w:val="28"/>
          <w:u w:val="single"/>
        </w:rPr>
      </w:pPr>
      <w:r>
        <w:rPr>
          <w:rFonts w:cstheme="minorHAnsi"/>
          <w:b/>
          <w:sz w:val="28"/>
          <w:szCs w:val="28"/>
          <w:u w:val="single"/>
        </w:rPr>
        <w:t>Submissi</w:t>
      </w:r>
      <w:r w:rsidRPr="0091145C">
        <w:rPr>
          <w:rFonts w:cstheme="minorHAnsi"/>
          <w:b/>
          <w:sz w:val="28"/>
          <w:szCs w:val="28"/>
          <w:u w:val="single"/>
        </w:rPr>
        <w:t>ons</w:t>
      </w:r>
    </w:p>
    <w:p w:rsidR="0063225A" w:rsidRDefault="0063225A" w:rsidP="0063225A">
      <w:pPr>
        <w:rPr>
          <w:rFonts w:cstheme="minorHAnsi"/>
          <w:sz w:val="28"/>
          <w:szCs w:val="28"/>
        </w:rPr>
      </w:pPr>
      <w:r>
        <w:rPr>
          <w:rFonts w:cstheme="minorHAnsi"/>
          <w:sz w:val="28"/>
          <w:szCs w:val="28"/>
        </w:rPr>
        <w:t>It was submitted for the applicant that the applicant had an inviolable right to be heard especially because they had diligently and dutifully participated in the</w:t>
      </w:r>
      <w:r w:rsidR="00B97475">
        <w:rPr>
          <w:rFonts w:cstheme="minorHAnsi"/>
          <w:sz w:val="28"/>
          <w:szCs w:val="28"/>
        </w:rPr>
        <w:t xml:space="preserve"> proceedings until 9/3/2020.  Counsel argued that the non-appearance of counsel was a mistake by counsel wh</w:t>
      </w:r>
      <w:r w:rsidR="007425DD">
        <w:rPr>
          <w:rFonts w:cstheme="minorHAnsi"/>
          <w:sz w:val="28"/>
          <w:szCs w:val="28"/>
        </w:rPr>
        <w:t>ich ought not be visited onto the applicant.</w:t>
      </w:r>
    </w:p>
    <w:p w:rsidR="007425DD" w:rsidRDefault="007425DD" w:rsidP="0063225A">
      <w:pPr>
        <w:rPr>
          <w:rFonts w:cstheme="minorHAnsi"/>
          <w:sz w:val="28"/>
          <w:szCs w:val="28"/>
        </w:rPr>
      </w:pPr>
      <w:r>
        <w:rPr>
          <w:rFonts w:cstheme="minorHAnsi"/>
          <w:sz w:val="28"/>
          <w:szCs w:val="28"/>
        </w:rPr>
        <w:t xml:space="preserve">In reply counsel for the respondent insisted that the appellant did not have any verifiable, justifiable and sufficient cause to set aside the Award of the court.  She argued that the applicants were aware of the hearing date and that the previous counsel in personal conduct of the case ought to have briefed Mr. </w:t>
      </w:r>
      <w:proofErr w:type="spellStart"/>
      <w:r>
        <w:rPr>
          <w:rFonts w:cstheme="minorHAnsi"/>
          <w:sz w:val="28"/>
          <w:szCs w:val="28"/>
        </w:rPr>
        <w:t>Onesmus</w:t>
      </w:r>
      <w:proofErr w:type="spellEnd"/>
      <w:r>
        <w:rPr>
          <w:rFonts w:cstheme="minorHAnsi"/>
          <w:sz w:val="28"/>
          <w:szCs w:val="28"/>
        </w:rPr>
        <w:t xml:space="preserve"> </w:t>
      </w:r>
      <w:proofErr w:type="spellStart"/>
      <w:r w:rsidR="000A7797">
        <w:rPr>
          <w:rFonts w:cstheme="minorHAnsi"/>
          <w:sz w:val="28"/>
          <w:szCs w:val="28"/>
        </w:rPr>
        <w:t>A</w:t>
      </w:r>
      <w:r w:rsidR="00816E80">
        <w:rPr>
          <w:rFonts w:cstheme="minorHAnsi"/>
          <w:sz w:val="28"/>
          <w:szCs w:val="28"/>
        </w:rPr>
        <w:t>rinda</w:t>
      </w:r>
      <w:proofErr w:type="spellEnd"/>
      <w:r w:rsidR="00816E80">
        <w:rPr>
          <w:rFonts w:cstheme="minorHAnsi"/>
          <w:sz w:val="28"/>
          <w:szCs w:val="28"/>
        </w:rPr>
        <w:t xml:space="preserve"> who t</w:t>
      </w:r>
      <w:r>
        <w:rPr>
          <w:rFonts w:cstheme="minorHAnsi"/>
          <w:sz w:val="28"/>
          <w:szCs w:val="28"/>
        </w:rPr>
        <w:t xml:space="preserve">ook over the matter, counsel in personal conduct having changed his </w:t>
      </w:r>
      <w:r w:rsidR="000A7797">
        <w:rPr>
          <w:rFonts w:cstheme="minorHAnsi"/>
          <w:sz w:val="28"/>
          <w:szCs w:val="28"/>
        </w:rPr>
        <w:t>profession</w:t>
      </w:r>
      <w:r w:rsidR="003022D0">
        <w:rPr>
          <w:rFonts w:cstheme="minorHAnsi"/>
          <w:sz w:val="28"/>
          <w:szCs w:val="28"/>
        </w:rPr>
        <w:t>al address in October 2019.</w:t>
      </w:r>
    </w:p>
    <w:p w:rsidR="003022D0" w:rsidRDefault="003022D0" w:rsidP="0063225A">
      <w:pPr>
        <w:rPr>
          <w:rFonts w:cstheme="minorHAnsi"/>
          <w:sz w:val="28"/>
          <w:szCs w:val="28"/>
        </w:rPr>
      </w:pPr>
      <w:r>
        <w:rPr>
          <w:rFonts w:cstheme="minorHAnsi"/>
          <w:b/>
          <w:sz w:val="28"/>
          <w:szCs w:val="28"/>
          <w:u w:val="single"/>
        </w:rPr>
        <w:t>Decision of court</w:t>
      </w:r>
    </w:p>
    <w:p w:rsidR="003022D0" w:rsidRDefault="003022D0" w:rsidP="0063225A">
      <w:pPr>
        <w:rPr>
          <w:rFonts w:cstheme="minorHAnsi"/>
          <w:sz w:val="28"/>
          <w:szCs w:val="28"/>
        </w:rPr>
      </w:pPr>
      <w:r>
        <w:rPr>
          <w:rFonts w:cstheme="minorHAnsi"/>
          <w:sz w:val="28"/>
          <w:szCs w:val="28"/>
        </w:rPr>
        <w:t xml:space="preserve">We have carefully considered the written submissions of both counsel. We have at the same time perused and carefully considered the contents of the Notice of Motion together with the affidavits in </w:t>
      </w:r>
      <w:r w:rsidR="00BA117D">
        <w:rPr>
          <w:rFonts w:cstheme="minorHAnsi"/>
          <w:sz w:val="28"/>
          <w:szCs w:val="28"/>
        </w:rPr>
        <w:t>support</w:t>
      </w:r>
      <w:r>
        <w:rPr>
          <w:rFonts w:cstheme="minorHAnsi"/>
          <w:sz w:val="28"/>
          <w:szCs w:val="28"/>
        </w:rPr>
        <w:t xml:space="preserve"> of the motion and in opposition.</w:t>
      </w:r>
    </w:p>
    <w:p w:rsidR="003022D0" w:rsidRPr="00816E80" w:rsidRDefault="003022D0" w:rsidP="0063225A">
      <w:pPr>
        <w:rPr>
          <w:rFonts w:cstheme="minorHAnsi"/>
          <w:b/>
          <w:sz w:val="28"/>
          <w:szCs w:val="28"/>
        </w:rPr>
      </w:pPr>
      <w:r>
        <w:rPr>
          <w:rFonts w:cstheme="minorHAnsi"/>
          <w:sz w:val="28"/>
          <w:szCs w:val="28"/>
        </w:rPr>
        <w:t>We have no doubt that in applications of this nature, the applicant must convince the court that there was sufficient reason why she/he or his/her lawyer did not attend the court when the mat</w:t>
      </w:r>
      <w:r w:rsidR="00816E80">
        <w:rPr>
          <w:rFonts w:cstheme="minorHAnsi"/>
          <w:sz w:val="28"/>
          <w:szCs w:val="28"/>
        </w:rPr>
        <w:t xml:space="preserve">ter came up for hearing.  Thus </w:t>
      </w:r>
      <w:r w:rsidR="00816E80" w:rsidRPr="00816E80">
        <w:rPr>
          <w:rFonts w:cstheme="minorHAnsi"/>
          <w:b/>
          <w:sz w:val="28"/>
          <w:szCs w:val="28"/>
        </w:rPr>
        <w:t>O</w:t>
      </w:r>
      <w:r w:rsidRPr="00816E80">
        <w:rPr>
          <w:rFonts w:cstheme="minorHAnsi"/>
          <w:b/>
          <w:sz w:val="28"/>
          <w:szCs w:val="28"/>
        </w:rPr>
        <w:t>rder 9 rule 27 of the</w:t>
      </w:r>
      <w:r w:rsidR="00816E80">
        <w:rPr>
          <w:rFonts w:cstheme="minorHAnsi"/>
          <w:b/>
          <w:sz w:val="28"/>
          <w:szCs w:val="28"/>
        </w:rPr>
        <w:t xml:space="preserve"> Civil Procedure Rules provides;</w:t>
      </w:r>
    </w:p>
    <w:p w:rsidR="003022D0" w:rsidRDefault="003022D0" w:rsidP="00612381">
      <w:pPr>
        <w:ind w:left="720"/>
        <w:rPr>
          <w:rFonts w:cstheme="minorHAnsi"/>
          <w:b/>
          <w:sz w:val="28"/>
          <w:szCs w:val="28"/>
        </w:rPr>
      </w:pPr>
      <w:r>
        <w:rPr>
          <w:rFonts w:cstheme="minorHAnsi"/>
          <w:b/>
          <w:sz w:val="28"/>
          <w:szCs w:val="28"/>
        </w:rPr>
        <w:t>“In any case in which a decree is p</w:t>
      </w:r>
      <w:r w:rsidR="00BA117D">
        <w:rPr>
          <w:rFonts w:cstheme="minorHAnsi"/>
          <w:b/>
          <w:sz w:val="28"/>
          <w:szCs w:val="28"/>
        </w:rPr>
        <w:t>assed ex</w:t>
      </w:r>
      <w:r>
        <w:rPr>
          <w:rFonts w:cstheme="minorHAnsi"/>
          <w:b/>
          <w:sz w:val="28"/>
          <w:szCs w:val="28"/>
        </w:rPr>
        <w:t>pa</w:t>
      </w:r>
      <w:r w:rsidR="00BA117D">
        <w:rPr>
          <w:rFonts w:cstheme="minorHAnsi"/>
          <w:b/>
          <w:sz w:val="28"/>
          <w:szCs w:val="28"/>
        </w:rPr>
        <w:t>r</w:t>
      </w:r>
      <w:r>
        <w:rPr>
          <w:rFonts w:cstheme="minorHAnsi"/>
          <w:b/>
          <w:sz w:val="28"/>
          <w:szCs w:val="28"/>
        </w:rPr>
        <w:t xml:space="preserve">te against a defendant he or she may apply to the court by </w:t>
      </w:r>
      <w:r w:rsidR="00BA117D">
        <w:rPr>
          <w:rFonts w:cstheme="minorHAnsi"/>
          <w:b/>
          <w:sz w:val="28"/>
          <w:szCs w:val="28"/>
        </w:rPr>
        <w:t>which</w:t>
      </w:r>
      <w:r>
        <w:rPr>
          <w:rFonts w:cstheme="minorHAnsi"/>
          <w:b/>
          <w:sz w:val="28"/>
          <w:szCs w:val="28"/>
        </w:rPr>
        <w:t xml:space="preserve"> the decree was passed for an order to set it aside; and if he/she satisfies the court that summons was </w:t>
      </w:r>
      <w:r w:rsidR="00612381">
        <w:rPr>
          <w:rFonts w:cstheme="minorHAnsi"/>
          <w:b/>
          <w:sz w:val="28"/>
          <w:szCs w:val="28"/>
        </w:rPr>
        <w:t xml:space="preserve">not </w:t>
      </w:r>
      <w:r w:rsidR="00612381">
        <w:rPr>
          <w:rFonts w:cstheme="minorHAnsi"/>
          <w:b/>
          <w:sz w:val="28"/>
          <w:szCs w:val="28"/>
        </w:rPr>
        <w:lastRenderedPageBreak/>
        <w:t>duly</w:t>
      </w:r>
      <w:r>
        <w:rPr>
          <w:rFonts w:cstheme="minorHAnsi"/>
          <w:b/>
          <w:sz w:val="28"/>
          <w:szCs w:val="28"/>
        </w:rPr>
        <w:t xml:space="preserve"> served or that he or she was prevented by any sufficient </w:t>
      </w:r>
      <w:r w:rsidR="00BA117D">
        <w:rPr>
          <w:rFonts w:cstheme="minorHAnsi"/>
          <w:b/>
          <w:sz w:val="28"/>
          <w:szCs w:val="28"/>
        </w:rPr>
        <w:t>c</w:t>
      </w:r>
      <w:r>
        <w:rPr>
          <w:rFonts w:cstheme="minorHAnsi"/>
          <w:b/>
          <w:sz w:val="28"/>
          <w:szCs w:val="28"/>
        </w:rPr>
        <w:t>ause from appearing when the s</w:t>
      </w:r>
      <w:r w:rsidR="00816E80">
        <w:rPr>
          <w:rFonts w:cstheme="minorHAnsi"/>
          <w:b/>
          <w:sz w:val="28"/>
          <w:szCs w:val="28"/>
        </w:rPr>
        <w:t>uit was called on for hearing, t</w:t>
      </w:r>
      <w:r>
        <w:rPr>
          <w:rFonts w:cstheme="minorHAnsi"/>
          <w:b/>
          <w:sz w:val="28"/>
          <w:szCs w:val="28"/>
        </w:rPr>
        <w:t>he court shall make</w:t>
      </w:r>
      <w:r w:rsidR="00612381">
        <w:rPr>
          <w:rFonts w:cstheme="minorHAnsi"/>
          <w:b/>
          <w:sz w:val="28"/>
          <w:szCs w:val="28"/>
        </w:rPr>
        <w:t xml:space="preserve"> an order setting aside the decree as against him or her upon such terms as to costs, payment into court, </w:t>
      </w:r>
      <w:r w:rsidR="00816E80">
        <w:rPr>
          <w:rFonts w:cstheme="minorHAnsi"/>
          <w:b/>
          <w:sz w:val="28"/>
          <w:szCs w:val="28"/>
        </w:rPr>
        <w:t>or otherwise as it thinks fit, a</w:t>
      </w:r>
      <w:r w:rsidR="00612381">
        <w:rPr>
          <w:rFonts w:cstheme="minorHAnsi"/>
          <w:b/>
          <w:sz w:val="28"/>
          <w:szCs w:val="28"/>
        </w:rPr>
        <w:t>nd shall appoint a day for proceeding with the suit, except that where the decree is of such a nature that it cannot be set aside as against such defendant only</w:t>
      </w:r>
      <w:r w:rsidR="0046411A">
        <w:rPr>
          <w:rFonts w:cstheme="minorHAnsi"/>
          <w:b/>
          <w:sz w:val="28"/>
          <w:szCs w:val="28"/>
        </w:rPr>
        <w:t>, it may be set aside as against all or any of the other defendants also.”</w:t>
      </w:r>
    </w:p>
    <w:p w:rsidR="0046411A" w:rsidRPr="00816E80" w:rsidRDefault="0046411A" w:rsidP="00C3260D">
      <w:pPr>
        <w:ind w:left="720"/>
        <w:rPr>
          <w:rFonts w:cstheme="minorHAnsi"/>
          <w:b/>
          <w:sz w:val="28"/>
          <w:szCs w:val="28"/>
        </w:rPr>
      </w:pPr>
      <w:r>
        <w:rPr>
          <w:rFonts w:cstheme="minorHAnsi"/>
          <w:sz w:val="28"/>
          <w:szCs w:val="28"/>
        </w:rPr>
        <w:t xml:space="preserve">It is true and we agree with the submission of counsel for the applicant that a mistake or an omission or error or a misunderstanding of an applicant’s legal advisor, though negligent </w:t>
      </w:r>
      <w:r w:rsidR="002C7028">
        <w:rPr>
          <w:rFonts w:cstheme="minorHAnsi"/>
          <w:sz w:val="28"/>
          <w:szCs w:val="28"/>
        </w:rPr>
        <w:t xml:space="preserve">may not be visited on to a litigant and it </w:t>
      </w:r>
      <w:r w:rsidR="00FE3D0A">
        <w:rPr>
          <w:rFonts w:cstheme="minorHAnsi"/>
          <w:sz w:val="28"/>
          <w:szCs w:val="28"/>
        </w:rPr>
        <w:t>m</w:t>
      </w:r>
      <w:r w:rsidR="002C7028">
        <w:rPr>
          <w:rFonts w:cstheme="minorHAnsi"/>
          <w:sz w:val="28"/>
          <w:szCs w:val="28"/>
        </w:rPr>
        <w:t>ay be acceptable as sufficient cause of reason for the court to exercise its discretion</w:t>
      </w:r>
      <w:r w:rsidR="00FE3D0A">
        <w:rPr>
          <w:rFonts w:cstheme="minorHAnsi"/>
          <w:sz w:val="28"/>
          <w:szCs w:val="28"/>
        </w:rPr>
        <w:t xml:space="preserve"> in allowing a litigant to do what would otherwise not be allowed.  This is the essence of the decisions in </w:t>
      </w:r>
      <w:proofErr w:type="spellStart"/>
      <w:r w:rsidR="00FE3D0A" w:rsidRPr="00816E80">
        <w:rPr>
          <w:rFonts w:cstheme="minorHAnsi"/>
          <w:b/>
          <w:sz w:val="28"/>
          <w:szCs w:val="28"/>
        </w:rPr>
        <w:t>Nicholus</w:t>
      </w:r>
      <w:proofErr w:type="spellEnd"/>
      <w:r w:rsidR="00FE3D0A" w:rsidRPr="00816E80">
        <w:rPr>
          <w:rFonts w:cstheme="minorHAnsi"/>
          <w:b/>
          <w:sz w:val="28"/>
          <w:szCs w:val="28"/>
        </w:rPr>
        <w:t xml:space="preserve"> Roussos </w:t>
      </w:r>
      <w:proofErr w:type="spellStart"/>
      <w:r w:rsidR="00FE3D0A" w:rsidRPr="00816E80">
        <w:rPr>
          <w:rFonts w:cstheme="minorHAnsi"/>
          <w:b/>
          <w:sz w:val="28"/>
          <w:szCs w:val="28"/>
        </w:rPr>
        <w:t>VsGulamu</w:t>
      </w:r>
      <w:proofErr w:type="spellEnd"/>
      <w:r w:rsidR="00FE3D0A" w:rsidRPr="00816E80">
        <w:rPr>
          <w:rFonts w:cstheme="minorHAnsi"/>
          <w:b/>
          <w:sz w:val="28"/>
          <w:szCs w:val="28"/>
        </w:rPr>
        <w:t xml:space="preserve"> Hussein Habib </w:t>
      </w:r>
      <w:proofErr w:type="spellStart"/>
      <w:r w:rsidR="00FE3D0A" w:rsidRPr="00816E80">
        <w:rPr>
          <w:rFonts w:cstheme="minorHAnsi"/>
          <w:b/>
          <w:sz w:val="28"/>
          <w:szCs w:val="28"/>
        </w:rPr>
        <w:t>Viran</w:t>
      </w:r>
      <w:proofErr w:type="spellEnd"/>
      <w:r w:rsidR="00FE3D0A" w:rsidRPr="00816E80">
        <w:rPr>
          <w:rFonts w:cstheme="minorHAnsi"/>
          <w:b/>
          <w:sz w:val="28"/>
          <w:szCs w:val="28"/>
        </w:rPr>
        <w:t xml:space="preserve"> &amp; Others SCCA 9/1993, Cpt. Philip </w:t>
      </w:r>
      <w:proofErr w:type="spellStart"/>
      <w:r w:rsidR="00FE3D0A" w:rsidRPr="00816E80">
        <w:rPr>
          <w:rFonts w:cstheme="minorHAnsi"/>
          <w:b/>
          <w:sz w:val="28"/>
          <w:szCs w:val="28"/>
        </w:rPr>
        <w:t>Ongom</w:t>
      </w:r>
      <w:proofErr w:type="spellEnd"/>
      <w:r w:rsidR="00FE3D0A" w:rsidRPr="00816E80">
        <w:rPr>
          <w:rFonts w:cstheme="minorHAnsi"/>
          <w:b/>
          <w:sz w:val="28"/>
          <w:szCs w:val="28"/>
        </w:rPr>
        <w:t xml:space="preserve"> Vs Catherine </w:t>
      </w:r>
      <w:proofErr w:type="spellStart"/>
      <w:r w:rsidR="00FE3D0A" w:rsidRPr="00816E80">
        <w:rPr>
          <w:rFonts w:cstheme="minorHAnsi"/>
          <w:b/>
          <w:sz w:val="28"/>
          <w:szCs w:val="28"/>
        </w:rPr>
        <w:t>Nyero</w:t>
      </w:r>
      <w:proofErr w:type="spellEnd"/>
      <w:r w:rsidR="00FE3D0A" w:rsidRPr="00816E80">
        <w:rPr>
          <w:rFonts w:cstheme="minorHAnsi"/>
          <w:b/>
          <w:sz w:val="28"/>
          <w:szCs w:val="28"/>
        </w:rPr>
        <w:t xml:space="preserve"> </w:t>
      </w:r>
      <w:proofErr w:type="spellStart"/>
      <w:r w:rsidR="00FE3D0A" w:rsidRPr="00816E80">
        <w:rPr>
          <w:rFonts w:cstheme="minorHAnsi"/>
          <w:b/>
          <w:sz w:val="28"/>
          <w:szCs w:val="28"/>
        </w:rPr>
        <w:t>Owota</w:t>
      </w:r>
      <w:proofErr w:type="spellEnd"/>
      <w:r w:rsidR="00FE3D0A" w:rsidRPr="00816E80">
        <w:rPr>
          <w:rFonts w:cstheme="minorHAnsi"/>
          <w:b/>
          <w:sz w:val="28"/>
          <w:szCs w:val="28"/>
        </w:rPr>
        <w:t xml:space="preserve"> SCCA 14/2001 </w:t>
      </w:r>
      <w:r w:rsidR="00C3260D" w:rsidRPr="00816E80">
        <w:rPr>
          <w:rFonts w:cstheme="minorHAnsi"/>
          <w:b/>
          <w:sz w:val="28"/>
          <w:szCs w:val="28"/>
        </w:rPr>
        <w:t xml:space="preserve">and </w:t>
      </w:r>
      <w:proofErr w:type="spellStart"/>
      <w:r w:rsidR="00C3260D" w:rsidRPr="00816E80">
        <w:rPr>
          <w:rFonts w:cstheme="minorHAnsi"/>
          <w:b/>
          <w:sz w:val="28"/>
          <w:szCs w:val="28"/>
        </w:rPr>
        <w:t>Sepinya</w:t>
      </w:r>
      <w:proofErr w:type="spellEnd"/>
      <w:r w:rsidR="00FE3D0A" w:rsidRPr="00816E80">
        <w:rPr>
          <w:rFonts w:cstheme="minorHAnsi"/>
          <w:b/>
          <w:sz w:val="28"/>
          <w:szCs w:val="28"/>
        </w:rPr>
        <w:t xml:space="preserve"> </w:t>
      </w:r>
      <w:proofErr w:type="spellStart"/>
      <w:r w:rsidR="00FE3D0A" w:rsidRPr="00816E80">
        <w:rPr>
          <w:rFonts w:cstheme="minorHAnsi"/>
          <w:b/>
          <w:sz w:val="28"/>
          <w:szCs w:val="28"/>
        </w:rPr>
        <w:t>Kyamulesire</w:t>
      </w:r>
      <w:proofErr w:type="spellEnd"/>
      <w:r w:rsidR="00FE3D0A" w:rsidRPr="00816E80">
        <w:rPr>
          <w:rFonts w:cstheme="minorHAnsi"/>
          <w:b/>
          <w:sz w:val="28"/>
          <w:szCs w:val="28"/>
        </w:rPr>
        <w:t xml:space="preserve"> Vs Justine </w:t>
      </w:r>
      <w:proofErr w:type="spellStart"/>
      <w:r w:rsidR="00FE3D0A" w:rsidRPr="00816E80">
        <w:rPr>
          <w:rFonts w:cstheme="minorHAnsi"/>
          <w:b/>
          <w:sz w:val="28"/>
          <w:szCs w:val="28"/>
        </w:rPr>
        <w:t>Baka</w:t>
      </w:r>
      <w:r w:rsidR="00816E80">
        <w:rPr>
          <w:rFonts w:cstheme="minorHAnsi"/>
          <w:b/>
          <w:sz w:val="28"/>
          <w:szCs w:val="28"/>
        </w:rPr>
        <w:t>n</w:t>
      </w:r>
      <w:r w:rsidR="00FE3D0A" w:rsidRPr="00816E80">
        <w:rPr>
          <w:rFonts w:cstheme="minorHAnsi"/>
          <w:b/>
          <w:sz w:val="28"/>
          <w:szCs w:val="28"/>
        </w:rPr>
        <w:t>churika</w:t>
      </w:r>
      <w:proofErr w:type="spellEnd"/>
      <w:r w:rsidR="00C3260D" w:rsidRPr="00816E80">
        <w:rPr>
          <w:rFonts w:cstheme="minorHAnsi"/>
          <w:b/>
          <w:sz w:val="28"/>
          <w:szCs w:val="28"/>
        </w:rPr>
        <w:t xml:space="preserve"> </w:t>
      </w:r>
      <w:proofErr w:type="spellStart"/>
      <w:r w:rsidR="00C3260D" w:rsidRPr="00816E80">
        <w:rPr>
          <w:rFonts w:cstheme="minorHAnsi"/>
          <w:b/>
          <w:sz w:val="28"/>
          <w:szCs w:val="28"/>
        </w:rPr>
        <w:t>Baguma</w:t>
      </w:r>
      <w:proofErr w:type="spellEnd"/>
      <w:r w:rsidR="00C3260D" w:rsidRPr="00816E80">
        <w:rPr>
          <w:rFonts w:cstheme="minorHAnsi"/>
          <w:b/>
          <w:sz w:val="28"/>
          <w:szCs w:val="28"/>
        </w:rPr>
        <w:t xml:space="preserve"> School, Civil Appeal 20/1995.</w:t>
      </w:r>
    </w:p>
    <w:p w:rsidR="00C3260D" w:rsidRDefault="00C3260D" w:rsidP="00C3260D">
      <w:pPr>
        <w:ind w:left="720"/>
        <w:rPr>
          <w:rFonts w:cstheme="minorHAnsi"/>
          <w:sz w:val="28"/>
          <w:szCs w:val="28"/>
        </w:rPr>
      </w:pPr>
      <w:r>
        <w:rPr>
          <w:rFonts w:cstheme="minorHAnsi"/>
          <w:sz w:val="28"/>
          <w:szCs w:val="28"/>
        </w:rPr>
        <w:t xml:space="preserve">We must emphasize, however, that where the litigant contributes towards the negligence or omission or error of his advocate amounting to </w:t>
      </w:r>
      <w:proofErr w:type="spellStart"/>
      <w:r w:rsidR="007255F5">
        <w:rPr>
          <w:rFonts w:cstheme="minorHAnsi"/>
          <w:sz w:val="28"/>
          <w:szCs w:val="28"/>
        </w:rPr>
        <w:t>dialatory</w:t>
      </w:r>
      <w:proofErr w:type="spellEnd"/>
      <w:r>
        <w:rPr>
          <w:rFonts w:cstheme="minorHAnsi"/>
          <w:sz w:val="28"/>
          <w:szCs w:val="28"/>
        </w:rPr>
        <w:t xml:space="preserve"> conduct on his/</w:t>
      </w:r>
      <w:r w:rsidR="007255F5">
        <w:rPr>
          <w:rFonts w:cstheme="minorHAnsi"/>
          <w:sz w:val="28"/>
          <w:szCs w:val="28"/>
        </w:rPr>
        <w:t>her part</w:t>
      </w:r>
      <w:r>
        <w:rPr>
          <w:rFonts w:cstheme="minorHAnsi"/>
          <w:sz w:val="28"/>
          <w:szCs w:val="28"/>
        </w:rPr>
        <w:t xml:space="preserve">, the court may not </w:t>
      </w:r>
      <w:r w:rsidR="00816E80">
        <w:rPr>
          <w:rFonts w:cstheme="minorHAnsi"/>
          <w:sz w:val="28"/>
          <w:szCs w:val="28"/>
        </w:rPr>
        <w:t>favor</w:t>
      </w:r>
      <w:r>
        <w:rPr>
          <w:rFonts w:cstheme="minorHAnsi"/>
          <w:sz w:val="28"/>
          <w:szCs w:val="28"/>
        </w:rPr>
        <w:t xml:space="preserve"> the litigant.  </w:t>
      </w:r>
    </w:p>
    <w:p w:rsidR="007255F5" w:rsidRDefault="00816E80" w:rsidP="00C3260D">
      <w:pPr>
        <w:ind w:left="720"/>
        <w:rPr>
          <w:rFonts w:cstheme="minorHAnsi"/>
          <w:sz w:val="28"/>
          <w:szCs w:val="28"/>
        </w:rPr>
      </w:pPr>
      <w:r>
        <w:rPr>
          <w:rFonts w:cstheme="minorHAnsi"/>
          <w:sz w:val="28"/>
          <w:szCs w:val="28"/>
        </w:rPr>
        <w:t>Thus in</w:t>
      </w:r>
      <w:r w:rsidR="007255F5">
        <w:rPr>
          <w:rFonts w:cstheme="minorHAnsi"/>
          <w:sz w:val="28"/>
          <w:szCs w:val="28"/>
        </w:rPr>
        <w:t xml:space="preserve"> </w:t>
      </w:r>
      <w:r w:rsidR="007255F5" w:rsidRPr="00816E80">
        <w:rPr>
          <w:rFonts w:cstheme="minorHAnsi"/>
          <w:b/>
          <w:sz w:val="28"/>
          <w:szCs w:val="28"/>
          <w:u w:val="single"/>
        </w:rPr>
        <w:t xml:space="preserve">Appliance World Limited </w:t>
      </w:r>
      <w:r w:rsidR="007255F5" w:rsidRPr="00816E80">
        <w:rPr>
          <w:rFonts w:cstheme="minorHAnsi"/>
          <w:b/>
          <w:sz w:val="28"/>
          <w:szCs w:val="28"/>
        </w:rPr>
        <w:t xml:space="preserve">Vs </w:t>
      </w:r>
      <w:proofErr w:type="spellStart"/>
      <w:r w:rsidR="007255F5" w:rsidRPr="00816E80">
        <w:rPr>
          <w:rFonts w:cstheme="minorHAnsi"/>
          <w:b/>
          <w:sz w:val="28"/>
          <w:szCs w:val="28"/>
        </w:rPr>
        <w:t>Och</w:t>
      </w:r>
      <w:r w:rsidR="007C60E3" w:rsidRPr="00816E80">
        <w:rPr>
          <w:rFonts w:cstheme="minorHAnsi"/>
          <w:b/>
          <w:sz w:val="28"/>
          <w:szCs w:val="28"/>
        </w:rPr>
        <w:t>w</w:t>
      </w:r>
      <w:r w:rsidR="007255F5" w:rsidRPr="00816E80">
        <w:rPr>
          <w:rFonts w:cstheme="minorHAnsi"/>
          <w:b/>
          <w:sz w:val="28"/>
          <w:szCs w:val="28"/>
        </w:rPr>
        <w:t>o</w:t>
      </w:r>
      <w:proofErr w:type="spellEnd"/>
      <w:r w:rsidR="007255F5" w:rsidRPr="00816E80">
        <w:rPr>
          <w:rFonts w:cstheme="minorHAnsi"/>
          <w:b/>
          <w:sz w:val="28"/>
          <w:szCs w:val="28"/>
        </w:rPr>
        <w:t xml:space="preserve"> John Michael M.A 179/2018 (rising from Labour dispute ref. 327/2015</w:t>
      </w:r>
      <w:r>
        <w:rPr>
          <w:rFonts w:cstheme="minorHAnsi"/>
          <w:sz w:val="28"/>
          <w:szCs w:val="28"/>
        </w:rPr>
        <w:t xml:space="preserve"> this court had this to say</w:t>
      </w:r>
      <w:r w:rsidR="002838D2">
        <w:rPr>
          <w:rFonts w:cstheme="minorHAnsi"/>
          <w:sz w:val="28"/>
          <w:szCs w:val="28"/>
        </w:rPr>
        <w:t>;</w:t>
      </w:r>
    </w:p>
    <w:p w:rsidR="00474947" w:rsidRDefault="007C60E3" w:rsidP="00474947">
      <w:pPr>
        <w:ind w:left="1440"/>
        <w:rPr>
          <w:rFonts w:cstheme="minorHAnsi"/>
          <w:b/>
          <w:sz w:val="28"/>
          <w:szCs w:val="28"/>
        </w:rPr>
      </w:pPr>
      <w:r>
        <w:rPr>
          <w:rFonts w:cstheme="minorHAnsi"/>
          <w:b/>
          <w:sz w:val="28"/>
          <w:szCs w:val="28"/>
        </w:rPr>
        <w:t xml:space="preserve">“The principle is not meant to give a blank cheque to counsel to be negligent in the belief that after all his or her client will </w:t>
      </w:r>
      <w:r w:rsidR="00474947">
        <w:rPr>
          <w:rFonts w:cstheme="minorHAnsi"/>
          <w:b/>
          <w:sz w:val="28"/>
          <w:szCs w:val="28"/>
        </w:rPr>
        <w:t>not be</w:t>
      </w:r>
      <w:r w:rsidR="00D41730">
        <w:rPr>
          <w:rFonts w:cstheme="minorHAnsi"/>
          <w:b/>
          <w:sz w:val="28"/>
          <w:szCs w:val="28"/>
        </w:rPr>
        <w:t xml:space="preserve"> blamed or penalized for negligence.  Neither is it meant to give the same blank cheque for the parties to exhibit non-vigilance in their cases in the belief that t</w:t>
      </w:r>
      <w:r w:rsidR="00566C5F">
        <w:rPr>
          <w:rFonts w:cstheme="minorHAnsi"/>
          <w:b/>
          <w:sz w:val="28"/>
          <w:szCs w:val="28"/>
        </w:rPr>
        <w:t>heir advocates are in charge and they will not be liable for the mistakes of their advocates.”</w:t>
      </w:r>
    </w:p>
    <w:p w:rsidR="007C60E3" w:rsidRDefault="002838D2" w:rsidP="00C3260D">
      <w:pPr>
        <w:ind w:left="720"/>
        <w:rPr>
          <w:rFonts w:cstheme="minorHAnsi"/>
          <w:sz w:val="28"/>
          <w:szCs w:val="28"/>
        </w:rPr>
      </w:pPr>
      <w:r>
        <w:rPr>
          <w:rFonts w:cstheme="minorHAnsi"/>
          <w:sz w:val="28"/>
          <w:szCs w:val="28"/>
        </w:rPr>
        <w:t>T</w:t>
      </w:r>
      <w:r w:rsidR="00474947">
        <w:rPr>
          <w:rFonts w:cstheme="minorHAnsi"/>
          <w:sz w:val="28"/>
          <w:szCs w:val="28"/>
        </w:rPr>
        <w:t xml:space="preserve">he Hon. Justice of </w:t>
      </w:r>
      <w:proofErr w:type="spellStart"/>
      <w:r w:rsidR="00474947">
        <w:rPr>
          <w:rFonts w:cstheme="minorHAnsi"/>
          <w:sz w:val="28"/>
          <w:szCs w:val="28"/>
        </w:rPr>
        <w:t>Mulenga</w:t>
      </w:r>
      <w:proofErr w:type="spellEnd"/>
      <w:r w:rsidR="00474947">
        <w:rPr>
          <w:rFonts w:cstheme="minorHAnsi"/>
          <w:sz w:val="28"/>
          <w:szCs w:val="28"/>
        </w:rPr>
        <w:t xml:space="preserve"> JSC (as</w:t>
      </w:r>
      <w:r>
        <w:rPr>
          <w:rFonts w:cstheme="minorHAnsi"/>
          <w:sz w:val="28"/>
          <w:szCs w:val="28"/>
        </w:rPr>
        <w:t xml:space="preserve"> he</w:t>
      </w:r>
      <w:r w:rsidR="00474947">
        <w:rPr>
          <w:rFonts w:cstheme="minorHAnsi"/>
          <w:sz w:val="28"/>
          <w:szCs w:val="28"/>
        </w:rPr>
        <w:t xml:space="preserve"> then was) in </w:t>
      </w:r>
      <w:r w:rsidR="00474947" w:rsidRPr="002838D2">
        <w:rPr>
          <w:rFonts w:cstheme="minorHAnsi"/>
          <w:b/>
          <w:sz w:val="28"/>
          <w:szCs w:val="28"/>
        </w:rPr>
        <w:t xml:space="preserve">Cpt. Philip </w:t>
      </w:r>
      <w:proofErr w:type="spellStart"/>
      <w:r w:rsidR="00474947" w:rsidRPr="002838D2">
        <w:rPr>
          <w:rFonts w:cstheme="minorHAnsi"/>
          <w:b/>
          <w:sz w:val="28"/>
          <w:szCs w:val="28"/>
        </w:rPr>
        <w:t>Ongom</w:t>
      </w:r>
      <w:proofErr w:type="spellEnd"/>
      <w:r w:rsidR="00474947" w:rsidRPr="002838D2">
        <w:rPr>
          <w:rFonts w:cstheme="minorHAnsi"/>
          <w:b/>
          <w:sz w:val="28"/>
          <w:szCs w:val="28"/>
        </w:rPr>
        <w:t xml:space="preserve"> Vs</w:t>
      </w:r>
      <w:r w:rsidR="00474947">
        <w:rPr>
          <w:rFonts w:cstheme="minorHAnsi"/>
          <w:sz w:val="28"/>
          <w:szCs w:val="28"/>
        </w:rPr>
        <w:t xml:space="preserve"> </w:t>
      </w:r>
      <w:r w:rsidR="00474947" w:rsidRPr="002838D2">
        <w:rPr>
          <w:rFonts w:cstheme="minorHAnsi"/>
          <w:b/>
          <w:sz w:val="28"/>
          <w:szCs w:val="28"/>
        </w:rPr>
        <w:t xml:space="preserve">Catherine </w:t>
      </w:r>
      <w:proofErr w:type="spellStart"/>
      <w:r w:rsidR="00474947" w:rsidRPr="002838D2">
        <w:rPr>
          <w:rFonts w:cstheme="minorHAnsi"/>
          <w:b/>
          <w:sz w:val="28"/>
          <w:szCs w:val="28"/>
        </w:rPr>
        <w:t>Nyero</w:t>
      </w:r>
      <w:proofErr w:type="spellEnd"/>
      <w:r w:rsidR="00474947" w:rsidRPr="002838D2">
        <w:rPr>
          <w:rFonts w:cstheme="minorHAnsi"/>
          <w:b/>
          <w:sz w:val="28"/>
          <w:szCs w:val="28"/>
        </w:rPr>
        <w:t xml:space="preserve"> </w:t>
      </w:r>
      <w:proofErr w:type="spellStart"/>
      <w:r w:rsidR="00474947" w:rsidRPr="002838D2">
        <w:rPr>
          <w:rFonts w:cstheme="minorHAnsi"/>
          <w:b/>
          <w:sz w:val="28"/>
          <w:szCs w:val="28"/>
        </w:rPr>
        <w:t>Owota</w:t>
      </w:r>
      <w:proofErr w:type="spellEnd"/>
      <w:r w:rsidR="00474947" w:rsidRPr="002838D2">
        <w:rPr>
          <w:rFonts w:cstheme="minorHAnsi"/>
          <w:b/>
          <w:sz w:val="28"/>
          <w:szCs w:val="28"/>
        </w:rPr>
        <w:t xml:space="preserve"> SCCA 14/2001</w:t>
      </w:r>
      <w:r w:rsidR="00474947">
        <w:rPr>
          <w:rFonts w:cstheme="minorHAnsi"/>
          <w:sz w:val="28"/>
          <w:szCs w:val="28"/>
        </w:rPr>
        <w:t xml:space="preserve"> at page 9 had this to say</w:t>
      </w:r>
      <w:r>
        <w:rPr>
          <w:rFonts w:cstheme="minorHAnsi"/>
          <w:sz w:val="28"/>
          <w:szCs w:val="28"/>
        </w:rPr>
        <w:t>;</w:t>
      </w:r>
    </w:p>
    <w:p w:rsidR="00474947" w:rsidRDefault="00474947" w:rsidP="00474947">
      <w:pPr>
        <w:ind w:left="1440"/>
        <w:rPr>
          <w:rFonts w:cstheme="minorHAnsi"/>
          <w:sz w:val="28"/>
          <w:szCs w:val="28"/>
        </w:rPr>
      </w:pPr>
      <w:r>
        <w:rPr>
          <w:rFonts w:cstheme="minorHAnsi"/>
          <w:sz w:val="28"/>
          <w:szCs w:val="28"/>
        </w:rPr>
        <w:lastRenderedPageBreak/>
        <w:t>“</w:t>
      </w:r>
      <w:r w:rsidRPr="00474947">
        <w:rPr>
          <w:rFonts w:cstheme="minorHAnsi"/>
          <w:sz w:val="28"/>
          <w:szCs w:val="28"/>
        </w:rPr>
        <w:t>It is an elementary principle of our legal system, that the acts and omissions of the advocates</w:t>
      </w:r>
      <w:r>
        <w:rPr>
          <w:rFonts w:cstheme="minorHAnsi"/>
          <w:sz w:val="28"/>
          <w:szCs w:val="28"/>
        </w:rPr>
        <w:t xml:space="preserve"> in </w:t>
      </w:r>
      <w:r w:rsidR="00E51D1B">
        <w:rPr>
          <w:rFonts w:cstheme="minorHAnsi"/>
          <w:sz w:val="28"/>
          <w:szCs w:val="28"/>
        </w:rPr>
        <w:t>the course</w:t>
      </w:r>
      <w:r>
        <w:rPr>
          <w:rFonts w:cstheme="minorHAnsi"/>
          <w:sz w:val="28"/>
          <w:szCs w:val="28"/>
        </w:rPr>
        <w:t xml:space="preserve"> </w:t>
      </w:r>
      <w:r w:rsidR="00E51D1B">
        <w:rPr>
          <w:rFonts w:cstheme="minorHAnsi"/>
          <w:sz w:val="28"/>
          <w:szCs w:val="28"/>
        </w:rPr>
        <w:t>of the</w:t>
      </w:r>
      <w:r>
        <w:rPr>
          <w:rFonts w:cstheme="minorHAnsi"/>
          <w:sz w:val="28"/>
          <w:szCs w:val="28"/>
        </w:rPr>
        <w:t xml:space="preserve"> representation bind a litigant who is represented by an advocate.  However, in </w:t>
      </w:r>
      <w:r w:rsidR="00E51D1B">
        <w:rPr>
          <w:rFonts w:cstheme="minorHAnsi"/>
          <w:sz w:val="28"/>
          <w:szCs w:val="28"/>
        </w:rPr>
        <w:t>applying</w:t>
      </w:r>
      <w:r>
        <w:rPr>
          <w:rFonts w:cstheme="minorHAnsi"/>
          <w:sz w:val="28"/>
          <w:szCs w:val="28"/>
        </w:rPr>
        <w:t xml:space="preserve"> that principle, the court must exercise care to avoid </w:t>
      </w:r>
      <w:r w:rsidR="00E51D1B">
        <w:rPr>
          <w:rFonts w:cstheme="minorHAnsi"/>
          <w:sz w:val="28"/>
          <w:szCs w:val="28"/>
        </w:rPr>
        <w:t>abuse of the systems and/or u</w:t>
      </w:r>
      <w:r w:rsidR="002838D2">
        <w:rPr>
          <w:rFonts w:cstheme="minorHAnsi"/>
          <w:sz w:val="28"/>
          <w:szCs w:val="28"/>
        </w:rPr>
        <w:t xml:space="preserve">njust or ridiculous results.  To my Mind, a proper </w:t>
      </w:r>
      <w:r w:rsidR="00E51D1B">
        <w:rPr>
          <w:rFonts w:cstheme="minorHAnsi"/>
          <w:sz w:val="28"/>
          <w:szCs w:val="28"/>
        </w:rPr>
        <w:t>guide in applying the principle is its premise, namely that the advocate’s conduct is in pursuit of and within the scope of what the advocate was engaged to do.”</w:t>
      </w:r>
    </w:p>
    <w:p w:rsidR="00E51D1B" w:rsidRDefault="00E51D1B" w:rsidP="00474947">
      <w:pPr>
        <w:ind w:left="1440"/>
        <w:rPr>
          <w:rFonts w:cstheme="minorHAnsi"/>
          <w:sz w:val="28"/>
          <w:szCs w:val="28"/>
        </w:rPr>
      </w:pPr>
      <w:r>
        <w:rPr>
          <w:rFonts w:cstheme="minorHAnsi"/>
          <w:sz w:val="28"/>
          <w:szCs w:val="28"/>
        </w:rPr>
        <w:t>It follows that not every negligent act or every error made by counsel will not be visited onto the litigant.  Depending on the circumstances of each case, a given error or a given negligent act by counsel may or may not be binding on the litigant.</w:t>
      </w:r>
    </w:p>
    <w:p w:rsidR="00E51D1B" w:rsidRDefault="00E51D1B" w:rsidP="00A254B7">
      <w:pPr>
        <w:ind w:left="1440"/>
        <w:rPr>
          <w:rFonts w:cstheme="minorHAnsi"/>
          <w:sz w:val="28"/>
          <w:szCs w:val="28"/>
        </w:rPr>
      </w:pPr>
      <w:r>
        <w:rPr>
          <w:rFonts w:cstheme="minorHAnsi"/>
          <w:sz w:val="28"/>
          <w:szCs w:val="28"/>
        </w:rPr>
        <w:t xml:space="preserve">In the instant case and by affidavit in support of this application, counsel for the applicant states that he represented the applicant in LDC 139/2017 having taken over </w:t>
      </w:r>
      <w:r w:rsidR="00794247">
        <w:rPr>
          <w:rFonts w:cstheme="minorHAnsi"/>
          <w:sz w:val="28"/>
          <w:szCs w:val="28"/>
        </w:rPr>
        <w:t>from one</w:t>
      </w:r>
      <w:r>
        <w:rPr>
          <w:rFonts w:cstheme="minorHAnsi"/>
          <w:sz w:val="28"/>
          <w:szCs w:val="28"/>
        </w:rPr>
        <w:t xml:space="preserve"> Greg </w:t>
      </w:r>
      <w:proofErr w:type="spellStart"/>
      <w:r>
        <w:rPr>
          <w:rFonts w:cstheme="minorHAnsi"/>
          <w:sz w:val="28"/>
          <w:szCs w:val="28"/>
        </w:rPr>
        <w:t>Byamukama</w:t>
      </w:r>
      <w:proofErr w:type="spellEnd"/>
      <w:r>
        <w:rPr>
          <w:rFonts w:cstheme="minorHAnsi"/>
          <w:sz w:val="28"/>
          <w:szCs w:val="28"/>
        </w:rPr>
        <w:t xml:space="preserve"> who wa</w:t>
      </w:r>
      <w:r w:rsidR="00693832">
        <w:rPr>
          <w:rFonts w:cstheme="minorHAnsi"/>
          <w:sz w:val="28"/>
          <w:szCs w:val="28"/>
        </w:rPr>
        <w:t>s</w:t>
      </w:r>
      <w:r>
        <w:rPr>
          <w:rFonts w:cstheme="minorHAnsi"/>
          <w:sz w:val="28"/>
          <w:szCs w:val="28"/>
        </w:rPr>
        <w:t xml:space="preserve"> formerly</w:t>
      </w:r>
      <w:r w:rsidR="00693832">
        <w:rPr>
          <w:rFonts w:cstheme="minorHAnsi"/>
          <w:sz w:val="28"/>
          <w:szCs w:val="28"/>
        </w:rPr>
        <w:t xml:space="preserve"> in personal conduct o the case before he left the firm in October 2019 and who never notified him about the status of the case (before he left).</w:t>
      </w:r>
      <w:r w:rsidR="00422261">
        <w:rPr>
          <w:rFonts w:cstheme="minorHAnsi"/>
          <w:sz w:val="28"/>
          <w:szCs w:val="28"/>
        </w:rPr>
        <w:t xml:space="preserve">  After becoming a</w:t>
      </w:r>
      <w:r w:rsidR="00CA5E0F">
        <w:rPr>
          <w:rFonts w:cstheme="minorHAnsi"/>
          <w:sz w:val="28"/>
          <w:szCs w:val="28"/>
        </w:rPr>
        <w:t>ware on 20</w:t>
      </w:r>
      <w:r w:rsidR="00CA5E0F" w:rsidRPr="00CA5E0F">
        <w:rPr>
          <w:rFonts w:cstheme="minorHAnsi"/>
          <w:sz w:val="28"/>
          <w:szCs w:val="28"/>
          <w:vertAlign w:val="superscript"/>
        </w:rPr>
        <w:t>th</w:t>
      </w:r>
      <w:r w:rsidR="00CA5E0F">
        <w:rPr>
          <w:rFonts w:cstheme="minorHAnsi"/>
          <w:sz w:val="28"/>
          <w:szCs w:val="28"/>
        </w:rPr>
        <w:t xml:space="preserve"> March 2019 that the case had proceeded exparte, he wrote a letter to this court requesting for a hearing date to allow the respondent to be heard.</w:t>
      </w:r>
    </w:p>
    <w:p w:rsidR="00A254B7" w:rsidRDefault="00A254B7" w:rsidP="00A254B7">
      <w:pPr>
        <w:ind w:left="1440"/>
        <w:rPr>
          <w:rFonts w:cstheme="minorHAnsi"/>
          <w:sz w:val="28"/>
          <w:szCs w:val="28"/>
        </w:rPr>
      </w:pPr>
      <w:r>
        <w:rPr>
          <w:rFonts w:cstheme="minorHAnsi"/>
          <w:sz w:val="28"/>
          <w:szCs w:val="28"/>
        </w:rPr>
        <w:t>The proper procedure that cou</w:t>
      </w:r>
      <w:r w:rsidR="00794247">
        <w:rPr>
          <w:rFonts w:cstheme="minorHAnsi"/>
          <w:sz w:val="28"/>
          <w:szCs w:val="28"/>
        </w:rPr>
        <w:t>n</w:t>
      </w:r>
      <w:r>
        <w:rPr>
          <w:rFonts w:cstheme="minorHAnsi"/>
          <w:sz w:val="28"/>
          <w:szCs w:val="28"/>
        </w:rPr>
        <w:t>se</w:t>
      </w:r>
      <w:r w:rsidR="00794247">
        <w:rPr>
          <w:rFonts w:cstheme="minorHAnsi"/>
          <w:sz w:val="28"/>
          <w:szCs w:val="28"/>
        </w:rPr>
        <w:t>l was expected to have followed was for him to make a formal application to set aside the order of the court that granted an exparte hearing to the respondent</w:t>
      </w:r>
      <w:r w:rsidR="00333668">
        <w:rPr>
          <w:rFonts w:cstheme="minorHAnsi"/>
          <w:sz w:val="28"/>
          <w:szCs w:val="28"/>
        </w:rPr>
        <w:t xml:space="preserve">.  Counsel honestly and professionally believed that having written a </w:t>
      </w:r>
      <w:r w:rsidR="002838D2">
        <w:rPr>
          <w:rFonts w:cstheme="minorHAnsi"/>
          <w:sz w:val="28"/>
          <w:szCs w:val="28"/>
        </w:rPr>
        <w:t>letter to this court asking to b</w:t>
      </w:r>
      <w:r w:rsidR="00333668">
        <w:rPr>
          <w:rFonts w:cstheme="minorHAnsi"/>
          <w:sz w:val="28"/>
          <w:szCs w:val="28"/>
        </w:rPr>
        <w:t>e heard, this court would ignore its own exparte order and proceed to hear the respondent’s case.  Unfortunately this was not to be.</w:t>
      </w:r>
    </w:p>
    <w:p w:rsidR="00333668" w:rsidRDefault="00333668" w:rsidP="00A254B7">
      <w:pPr>
        <w:ind w:left="1440"/>
        <w:rPr>
          <w:rFonts w:cstheme="minorHAnsi"/>
          <w:sz w:val="28"/>
          <w:szCs w:val="28"/>
        </w:rPr>
      </w:pPr>
      <w:r>
        <w:rPr>
          <w:rFonts w:cstheme="minorHAnsi"/>
          <w:sz w:val="28"/>
          <w:szCs w:val="28"/>
        </w:rPr>
        <w:t xml:space="preserve">As the case of </w:t>
      </w:r>
      <w:proofErr w:type="spellStart"/>
      <w:r w:rsidRPr="002838D2">
        <w:rPr>
          <w:rFonts w:cstheme="minorHAnsi"/>
          <w:b/>
          <w:sz w:val="28"/>
          <w:szCs w:val="28"/>
          <w:u w:val="single"/>
        </w:rPr>
        <w:t>Hanondi</w:t>
      </w:r>
      <w:proofErr w:type="spellEnd"/>
      <w:r w:rsidRPr="002838D2">
        <w:rPr>
          <w:rFonts w:cstheme="minorHAnsi"/>
          <w:b/>
          <w:sz w:val="28"/>
          <w:szCs w:val="28"/>
          <w:u w:val="single"/>
        </w:rPr>
        <w:t xml:space="preserve"> Daniel Vs</w:t>
      </w:r>
      <w:r w:rsidRPr="002838D2">
        <w:rPr>
          <w:rFonts w:cstheme="minorHAnsi"/>
          <w:b/>
          <w:sz w:val="28"/>
          <w:szCs w:val="28"/>
        </w:rPr>
        <w:t xml:space="preserve"> </w:t>
      </w:r>
      <w:proofErr w:type="spellStart"/>
      <w:r w:rsidRPr="002838D2">
        <w:rPr>
          <w:rFonts w:cstheme="minorHAnsi"/>
          <w:b/>
          <w:sz w:val="28"/>
          <w:szCs w:val="28"/>
        </w:rPr>
        <w:t>Yolamu</w:t>
      </w:r>
      <w:proofErr w:type="spellEnd"/>
      <w:r w:rsidRPr="002838D2">
        <w:rPr>
          <w:rFonts w:cstheme="minorHAnsi"/>
          <w:b/>
          <w:sz w:val="28"/>
          <w:szCs w:val="28"/>
        </w:rPr>
        <w:t xml:space="preserve"> </w:t>
      </w:r>
      <w:proofErr w:type="spellStart"/>
      <w:r w:rsidRPr="002838D2">
        <w:rPr>
          <w:rFonts w:cstheme="minorHAnsi"/>
          <w:b/>
          <w:sz w:val="28"/>
          <w:szCs w:val="28"/>
        </w:rPr>
        <w:t>Egondi</w:t>
      </w:r>
      <w:proofErr w:type="spellEnd"/>
      <w:r w:rsidRPr="002838D2">
        <w:rPr>
          <w:rFonts w:cstheme="minorHAnsi"/>
          <w:b/>
          <w:sz w:val="28"/>
          <w:szCs w:val="28"/>
        </w:rPr>
        <w:t xml:space="preserve"> court of Appeal, Civil</w:t>
      </w:r>
      <w:r>
        <w:rPr>
          <w:rFonts w:cstheme="minorHAnsi"/>
          <w:sz w:val="28"/>
          <w:szCs w:val="28"/>
        </w:rPr>
        <w:t xml:space="preserve"> </w:t>
      </w:r>
      <w:r w:rsidRPr="002838D2">
        <w:rPr>
          <w:rFonts w:cstheme="minorHAnsi"/>
          <w:b/>
          <w:sz w:val="28"/>
          <w:szCs w:val="28"/>
        </w:rPr>
        <w:t>appeal 67/2003</w:t>
      </w:r>
      <w:r>
        <w:rPr>
          <w:rFonts w:cstheme="minorHAnsi"/>
          <w:sz w:val="28"/>
          <w:szCs w:val="28"/>
        </w:rPr>
        <w:t xml:space="preserve"> discussed the duty of counsel, the case agreed with the trial Judge in his comparison with the English System which </w:t>
      </w:r>
      <w:r>
        <w:rPr>
          <w:rFonts w:cstheme="minorHAnsi"/>
          <w:sz w:val="28"/>
          <w:szCs w:val="28"/>
        </w:rPr>
        <w:lastRenderedPageBreak/>
        <w:t xml:space="preserve">the court stated was in </w:t>
      </w:r>
      <w:proofErr w:type="spellStart"/>
      <w:r>
        <w:rPr>
          <w:rFonts w:cstheme="minorHAnsi"/>
          <w:sz w:val="28"/>
          <w:szCs w:val="28"/>
        </w:rPr>
        <w:t>Harlsbury’s</w:t>
      </w:r>
      <w:proofErr w:type="spellEnd"/>
      <w:r>
        <w:rPr>
          <w:rFonts w:cstheme="minorHAnsi"/>
          <w:sz w:val="28"/>
          <w:szCs w:val="28"/>
        </w:rPr>
        <w:t xml:space="preserve"> </w:t>
      </w:r>
      <w:r w:rsidR="000F280D">
        <w:rPr>
          <w:rFonts w:cstheme="minorHAnsi"/>
          <w:sz w:val="28"/>
          <w:szCs w:val="28"/>
        </w:rPr>
        <w:t>4</w:t>
      </w:r>
      <w:r w:rsidR="000F280D" w:rsidRPr="00333668">
        <w:rPr>
          <w:rFonts w:cstheme="minorHAnsi"/>
          <w:sz w:val="28"/>
          <w:szCs w:val="28"/>
          <w:vertAlign w:val="superscript"/>
        </w:rPr>
        <w:t>th</w:t>
      </w:r>
      <w:r w:rsidR="000F280D">
        <w:rPr>
          <w:rFonts w:cstheme="minorHAnsi"/>
          <w:sz w:val="28"/>
          <w:szCs w:val="28"/>
        </w:rPr>
        <w:t xml:space="preserve"> edition</w:t>
      </w:r>
      <w:r>
        <w:rPr>
          <w:rFonts w:cstheme="minorHAnsi"/>
          <w:sz w:val="28"/>
          <w:szCs w:val="28"/>
        </w:rPr>
        <w:t>, Vol. 3 (1) paragraph 518 as:</w:t>
      </w:r>
    </w:p>
    <w:p w:rsidR="000F280D" w:rsidRDefault="000F280D" w:rsidP="00274578">
      <w:pPr>
        <w:ind w:left="2160"/>
        <w:rPr>
          <w:rFonts w:cstheme="minorHAnsi"/>
          <w:b/>
          <w:sz w:val="28"/>
          <w:szCs w:val="28"/>
        </w:rPr>
      </w:pPr>
      <w:r w:rsidRPr="000F280D">
        <w:rPr>
          <w:rFonts w:cstheme="minorHAnsi"/>
          <w:b/>
          <w:sz w:val="28"/>
          <w:szCs w:val="28"/>
        </w:rPr>
        <w:t>“</w:t>
      </w:r>
      <w:r>
        <w:rPr>
          <w:rFonts w:cstheme="minorHAnsi"/>
          <w:b/>
          <w:sz w:val="28"/>
          <w:szCs w:val="28"/>
        </w:rPr>
        <w:t xml:space="preserve">Counsel has with regard to all matters that properly relate to the </w:t>
      </w:r>
      <w:r w:rsidR="00274578">
        <w:rPr>
          <w:rFonts w:cstheme="minorHAnsi"/>
          <w:b/>
          <w:sz w:val="28"/>
          <w:szCs w:val="28"/>
        </w:rPr>
        <w:t>conduct of</w:t>
      </w:r>
      <w:r>
        <w:rPr>
          <w:rFonts w:cstheme="minorHAnsi"/>
          <w:b/>
          <w:sz w:val="28"/>
          <w:szCs w:val="28"/>
        </w:rPr>
        <w:t xml:space="preserve"> the case, </w:t>
      </w:r>
      <w:r w:rsidR="00274578">
        <w:rPr>
          <w:rFonts w:cstheme="minorHAnsi"/>
          <w:b/>
          <w:sz w:val="28"/>
          <w:szCs w:val="28"/>
        </w:rPr>
        <w:t>unlimited authority</w:t>
      </w:r>
      <w:r>
        <w:rPr>
          <w:rFonts w:cstheme="minorHAnsi"/>
          <w:b/>
          <w:sz w:val="28"/>
          <w:szCs w:val="28"/>
        </w:rPr>
        <w:t xml:space="preserve"> to do whatever </w:t>
      </w:r>
      <w:r w:rsidR="00274578">
        <w:rPr>
          <w:rFonts w:cstheme="minorHAnsi"/>
          <w:b/>
          <w:sz w:val="28"/>
          <w:szCs w:val="28"/>
        </w:rPr>
        <w:t>he considers best for the interest of his client.  This authority extends to all matters relating to the actions including the calling and cross examination of witnesses, challenging a juror, deciding what points to take, choosing which of two inconsistent defenses to put forward and even agreeing to a compromise of the</w:t>
      </w:r>
      <w:r w:rsidR="002838D2">
        <w:rPr>
          <w:rFonts w:cstheme="minorHAnsi"/>
          <w:b/>
          <w:sz w:val="28"/>
          <w:szCs w:val="28"/>
        </w:rPr>
        <w:t xml:space="preserve"> action or to a verdict, order or</w:t>
      </w:r>
      <w:r w:rsidR="00274578">
        <w:rPr>
          <w:rFonts w:cstheme="minorHAnsi"/>
          <w:b/>
          <w:sz w:val="28"/>
          <w:szCs w:val="28"/>
        </w:rPr>
        <w:t xml:space="preserve"> judgement.”</w:t>
      </w:r>
    </w:p>
    <w:p w:rsidR="001B538C" w:rsidRDefault="00D119B7" w:rsidP="001B538C">
      <w:pPr>
        <w:rPr>
          <w:rFonts w:cstheme="minorHAnsi"/>
          <w:sz w:val="28"/>
          <w:szCs w:val="28"/>
        </w:rPr>
      </w:pPr>
      <w:r>
        <w:rPr>
          <w:rFonts w:cstheme="minorHAnsi"/>
          <w:sz w:val="28"/>
          <w:szCs w:val="28"/>
        </w:rPr>
        <w:t xml:space="preserve">Following the above decision, this court in </w:t>
      </w:r>
      <w:r w:rsidRPr="002838D2">
        <w:rPr>
          <w:rFonts w:cstheme="minorHAnsi"/>
          <w:b/>
          <w:sz w:val="28"/>
          <w:szCs w:val="28"/>
          <w:u w:val="single"/>
        </w:rPr>
        <w:t>Nile Breweries Ltd</w:t>
      </w:r>
      <w:r w:rsidRPr="002838D2">
        <w:rPr>
          <w:rFonts w:cstheme="minorHAnsi"/>
          <w:b/>
          <w:sz w:val="28"/>
          <w:szCs w:val="28"/>
        </w:rPr>
        <w:t xml:space="preserve"> Vs </w:t>
      </w:r>
      <w:proofErr w:type="spellStart"/>
      <w:r w:rsidRPr="002838D2">
        <w:rPr>
          <w:rFonts w:cstheme="minorHAnsi"/>
          <w:b/>
          <w:sz w:val="28"/>
          <w:szCs w:val="28"/>
        </w:rPr>
        <w:t>Isabirye</w:t>
      </w:r>
      <w:proofErr w:type="spellEnd"/>
      <w:r w:rsidRPr="002838D2">
        <w:rPr>
          <w:rFonts w:cstheme="minorHAnsi"/>
          <w:b/>
          <w:sz w:val="28"/>
          <w:szCs w:val="28"/>
        </w:rPr>
        <w:t xml:space="preserve"> David</w:t>
      </w:r>
      <w:r>
        <w:rPr>
          <w:rFonts w:cstheme="minorHAnsi"/>
          <w:sz w:val="28"/>
          <w:szCs w:val="28"/>
        </w:rPr>
        <w:t xml:space="preserve">, </w:t>
      </w:r>
      <w:r w:rsidRPr="002838D2">
        <w:rPr>
          <w:rFonts w:cstheme="minorHAnsi"/>
          <w:b/>
          <w:sz w:val="28"/>
          <w:szCs w:val="28"/>
        </w:rPr>
        <w:t>M.A. 130/2020 (arising from Njeru Municipal Labour</w:t>
      </w:r>
      <w:r>
        <w:rPr>
          <w:rFonts w:cstheme="minorHAnsi"/>
          <w:sz w:val="28"/>
          <w:szCs w:val="28"/>
        </w:rPr>
        <w:t xml:space="preserve"> </w:t>
      </w:r>
      <w:r w:rsidRPr="002838D2">
        <w:rPr>
          <w:rFonts w:cstheme="minorHAnsi"/>
          <w:b/>
          <w:sz w:val="28"/>
          <w:szCs w:val="28"/>
        </w:rPr>
        <w:t>Complaint 44/2018</w:t>
      </w:r>
      <w:r w:rsidR="008B7ABF">
        <w:rPr>
          <w:rFonts w:cstheme="minorHAnsi"/>
          <w:b/>
          <w:sz w:val="28"/>
          <w:szCs w:val="28"/>
        </w:rPr>
        <w:t>)</w:t>
      </w:r>
      <w:r>
        <w:rPr>
          <w:rFonts w:cstheme="minorHAnsi"/>
          <w:sz w:val="28"/>
          <w:szCs w:val="28"/>
        </w:rPr>
        <w:t xml:space="preserve">, rejected a submission of counsel for the applicant that it was a mistake or error of counsel to have applied to a labour officer for review of a decision of a fellow </w:t>
      </w:r>
      <w:proofErr w:type="spellStart"/>
      <w:r>
        <w:rPr>
          <w:rFonts w:cstheme="minorHAnsi"/>
          <w:sz w:val="28"/>
          <w:szCs w:val="28"/>
        </w:rPr>
        <w:t>labour</w:t>
      </w:r>
      <w:proofErr w:type="spellEnd"/>
      <w:r>
        <w:rPr>
          <w:rFonts w:cstheme="minorHAnsi"/>
          <w:sz w:val="28"/>
          <w:szCs w:val="28"/>
        </w:rPr>
        <w:t xml:space="preserve"> officer and </w:t>
      </w:r>
      <w:r w:rsidR="00613386">
        <w:rPr>
          <w:rFonts w:cstheme="minorHAnsi"/>
          <w:sz w:val="28"/>
          <w:szCs w:val="28"/>
        </w:rPr>
        <w:t>that such</w:t>
      </w:r>
      <w:r>
        <w:rPr>
          <w:rFonts w:cstheme="minorHAnsi"/>
          <w:sz w:val="28"/>
          <w:szCs w:val="28"/>
        </w:rPr>
        <w:t xml:space="preserve"> error should not be visited onto </w:t>
      </w:r>
      <w:r w:rsidR="00613386">
        <w:rPr>
          <w:rFonts w:cstheme="minorHAnsi"/>
          <w:sz w:val="28"/>
          <w:szCs w:val="28"/>
        </w:rPr>
        <w:t>the litigant</w:t>
      </w:r>
      <w:r>
        <w:rPr>
          <w:rFonts w:cstheme="minorHAnsi"/>
          <w:sz w:val="28"/>
          <w:szCs w:val="28"/>
        </w:rPr>
        <w:t>.</w:t>
      </w:r>
    </w:p>
    <w:p w:rsidR="00613386" w:rsidRDefault="00613386" w:rsidP="001B538C">
      <w:pPr>
        <w:rPr>
          <w:rFonts w:cstheme="minorHAnsi"/>
          <w:sz w:val="28"/>
          <w:szCs w:val="28"/>
        </w:rPr>
      </w:pPr>
      <w:r>
        <w:rPr>
          <w:rFonts w:cstheme="minorHAnsi"/>
          <w:sz w:val="28"/>
          <w:szCs w:val="28"/>
        </w:rPr>
        <w:t>The court rejected the submission on the ground that the method applied by counsel on behalf of his client was the method that counsel believed would produce t</w:t>
      </w:r>
      <w:r w:rsidR="003F7E04">
        <w:rPr>
          <w:rFonts w:cstheme="minorHAnsi"/>
          <w:sz w:val="28"/>
          <w:szCs w:val="28"/>
        </w:rPr>
        <w:t>he desired re</w:t>
      </w:r>
      <w:r w:rsidR="00C425A3">
        <w:rPr>
          <w:rFonts w:cstheme="minorHAnsi"/>
          <w:sz w:val="28"/>
          <w:szCs w:val="28"/>
        </w:rPr>
        <w:t>sult of setting aside the Award.</w:t>
      </w:r>
    </w:p>
    <w:p w:rsidR="00C425A3" w:rsidRDefault="00C425A3" w:rsidP="001B538C">
      <w:pPr>
        <w:rPr>
          <w:rFonts w:cstheme="minorHAnsi"/>
          <w:sz w:val="28"/>
          <w:szCs w:val="28"/>
        </w:rPr>
      </w:pPr>
      <w:r>
        <w:rPr>
          <w:rFonts w:cstheme="minorHAnsi"/>
          <w:sz w:val="28"/>
          <w:szCs w:val="28"/>
        </w:rPr>
        <w:t xml:space="preserve">In the same way, and in the instant case, counsel for the applicant opted to file a letter to request for a hearing </w:t>
      </w:r>
      <w:r w:rsidR="008B7ABF">
        <w:rPr>
          <w:rFonts w:cstheme="minorHAnsi"/>
          <w:sz w:val="28"/>
          <w:szCs w:val="28"/>
        </w:rPr>
        <w:t>rather than</w:t>
      </w:r>
      <w:r>
        <w:rPr>
          <w:rFonts w:cstheme="minorHAnsi"/>
          <w:sz w:val="28"/>
          <w:szCs w:val="28"/>
        </w:rPr>
        <w:t xml:space="preserve"> file a formal application at the time h</w:t>
      </w:r>
      <w:r w:rsidR="008B7ABF">
        <w:rPr>
          <w:rFonts w:cstheme="minorHAnsi"/>
          <w:sz w:val="28"/>
          <w:szCs w:val="28"/>
        </w:rPr>
        <w:t>e knew that court had granted th</w:t>
      </w:r>
      <w:r>
        <w:rPr>
          <w:rFonts w:cstheme="minorHAnsi"/>
          <w:sz w:val="28"/>
          <w:szCs w:val="28"/>
        </w:rPr>
        <w:t xml:space="preserve">e respondent an order to proceed exparte.  It is our position that counsel was exercising his authority within the precincts of what the court of Appeal in </w:t>
      </w:r>
      <w:proofErr w:type="spellStart"/>
      <w:r w:rsidRPr="008B7ABF">
        <w:rPr>
          <w:rFonts w:cstheme="minorHAnsi"/>
          <w:b/>
          <w:sz w:val="28"/>
          <w:szCs w:val="28"/>
          <w:u w:val="single"/>
        </w:rPr>
        <w:t>Hanondi</w:t>
      </w:r>
      <w:proofErr w:type="spellEnd"/>
      <w:r w:rsidRPr="008B7ABF">
        <w:rPr>
          <w:rFonts w:cstheme="minorHAnsi"/>
          <w:b/>
          <w:sz w:val="28"/>
          <w:szCs w:val="28"/>
          <w:u w:val="single"/>
        </w:rPr>
        <w:t xml:space="preserve"> Daniel Vs</w:t>
      </w:r>
      <w:r w:rsidRPr="008B7ABF">
        <w:rPr>
          <w:rFonts w:cstheme="minorHAnsi"/>
          <w:b/>
          <w:sz w:val="28"/>
          <w:szCs w:val="28"/>
        </w:rPr>
        <w:t xml:space="preserve"> </w:t>
      </w:r>
      <w:proofErr w:type="spellStart"/>
      <w:r w:rsidRPr="008B7ABF">
        <w:rPr>
          <w:rFonts w:cstheme="minorHAnsi"/>
          <w:b/>
          <w:sz w:val="28"/>
          <w:szCs w:val="28"/>
        </w:rPr>
        <w:t>Yolamu</w:t>
      </w:r>
      <w:proofErr w:type="spellEnd"/>
      <w:r w:rsidRPr="008B7ABF">
        <w:rPr>
          <w:rFonts w:cstheme="minorHAnsi"/>
          <w:b/>
          <w:sz w:val="28"/>
          <w:szCs w:val="28"/>
        </w:rPr>
        <w:t xml:space="preserve"> </w:t>
      </w:r>
      <w:proofErr w:type="spellStart"/>
      <w:r w:rsidRPr="008B7ABF">
        <w:rPr>
          <w:rFonts w:cstheme="minorHAnsi"/>
          <w:b/>
          <w:sz w:val="28"/>
          <w:szCs w:val="28"/>
        </w:rPr>
        <w:t>Egondi</w:t>
      </w:r>
      <w:proofErr w:type="spellEnd"/>
      <w:r w:rsidRPr="008B7ABF">
        <w:rPr>
          <w:rFonts w:cstheme="minorHAnsi"/>
          <w:b/>
          <w:sz w:val="28"/>
          <w:szCs w:val="28"/>
        </w:rPr>
        <w:t xml:space="preserve"> (supra</w:t>
      </w:r>
      <w:r w:rsidR="008B7ABF">
        <w:rPr>
          <w:rFonts w:cstheme="minorHAnsi"/>
          <w:sz w:val="28"/>
          <w:szCs w:val="28"/>
        </w:rPr>
        <w:t>) referred to when it relied on</w:t>
      </w:r>
      <w:r w:rsidR="00A026E3">
        <w:rPr>
          <w:rFonts w:cstheme="minorHAnsi"/>
          <w:sz w:val="28"/>
          <w:szCs w:val="28"/>
        </w:rPr>
        <w:t xml:space="preserve"> </w:t>
      </w:r>
      <w:proofErr w:type="spellStart"/>
      <w:r w:rsidR="00A026E3">
        <w:rPr>
          <w:rFonts w:cstheme="minorHAnsi"/>
          <w:sz w:val="28"/>
          <w:szCs w:val="28"/>
        </w:rPr>
        <w:t>Hurlbury’s</w:t>
      </w:r>
      <w:proofErr w:type="spellEnd"/>
      <w:r w:rsidR="00A026E3">
        <w:rPr>
          <w:rFonts w:cstheme="minorHAnsi"/>
          <w:sz w:val="28"/>
          <w:szCs w:val="28"/>
        </w:rPr>
        <w:t xml:space="preserve"> 4</w:t>
      </w:r>
      <w:r w:rsidR="00A026E3" w:rsidRPr="00A026E3">
        <w:rPr>
          <w:rFonts w:cstheme="minorHAnsi"/>
          <w:sz w:val="28"/>
          <w:szCs w:val="28"/>
          <w:vertAlign w:val="superscript"/>
        </w:rPr>
        <w:t>th</w:t>
      </w:r>
      <w:r w:rsidR="00A026E3">
        <w:rPr>
          <w:rFonts w:cstheme="minorHAnsi"/>
          <w:sz w:val="28"/>
          <w:szCs w:val="28"/>
        </w:rPr>
        <w:t xml:space="preserve"> Edition Vol. 3(1) Paragraph 518 as mentioned</w:t>
      </w:r>
      <w:r w:rsidR="00182138">
        <w:rPr>
          <w:rFonts w:cstheme="minorHAnsi"/>
          <w:sz w:val="28"/>
          <w:szCs w:val="28"/>
        </w:rPr>
        <w:t xml:space="preserve"> above.  Hon Justice A.E.N. </w:t>
      </w:r>
      <w:proofErr w:type="spellStart"/>
      <w:r w:rsidR="00182138">
        <w:rPr>
          <w:rFonts w:cstheme="minorHAnsi"/>
          <w:sz w:val="28"/>
          <w:szCs w:val="28"/>
        </w:rPr>
        <w:t>Mpagi</w:t>
      </w:r>
      <w:proofErr w:type="spellEnd"/>
      <w:r w:rsidR="00182138">
        <w:rPr>
          <w:rFonts w:cstheme="minorHAnsi"/>
          <w:sz w:val="28"/>
          <w:szCs w:val="28"/>
        </w:rPr>
        <w:t xml:space="preserve"> </w:t>
      </w:r>
      <w:proofErr w:type="spellStart"/>
      <w:r w:rsidR="00182138">
        <w:rPr>
          <w:rFonts w:cstheme="minorHAnsi"/>
          <w:sz w:val="28"/>
          <w:szCs w:val="28"/>
        </w:rPr>
        <w:t>Bahigeine</w:t>
      </w:r>
      <w:proofErr w:type="spellEnd"/>
      <w:r w:rsidR="00182138">
        <w:rPr>
          <w:rFonts w:cstheme="minorHAnsi"/>
          <w:sz w:val="28"/>
          <w:szCs w:val="28"/>
        </w:rPr>
        <w:t xml:space="preserve"> J. A. (as the t</w:t>
      </w:r>
      <w:r w:rsidR="008B7ABF">
        <w:rPr>
          <w:rFonts w:cstheme="minorHAnsi"/>
          <w:sz w:val="28"/>
          <w:szCs w:val="28"/>
        </w:rPr>
        <w:t>hen was) in the above case said:</w:t>
      </w:r>
    </w:p>
    <w:p w:rsidR="00182138" w:rsidRDefault="00182138" w:rsidP="00182138">
      <w:pPr>
        <w:ind w:left="720"/>
        <w:rPr>
          <w:rFonts w:cstheme="minorHAnsi"/>
          <w:b/>
          <w:sz w:val="28"/>
          <w:szCs w:val="28"/>
        </w:rPr>
      </w:pPr>
      <w:r>
        <w:rPr>
          <w:rFonts w:cstheme="minorHAnsi"/>
          <w:b/>
          <w:sz w:val="28"/>
          <w:szCs w:val="28"/>
        </w:rPr>
        <w:t>“It is enough for me to say that</w:t>
      </w:r>
      <w:r w:rsidR="008B7ABF">
        <w:rPr>
          <w:rFonts w:cstheme="minorHAnsi"/>
          <w:b/>
          <w:sz w:val="28"/>
          <w:szCs w:val="28"/>
        </w:rPr>
        <w:t xml:space="preserve"> the</w:t>
      </w:r>
      <w:r>
        <w:rPr>
          <w:rFonts w:cstheme="minorHAnsi"/>
          <w:b/>
          <w:sz w:val="28"/>
          <w:szCs w:val="28"/>
        </w:rPr>
        <w:t xml:space="preserve"> appellant put himself in the hands of the advocate.  In the process the advocate was doing his very best to discharge that mandate.  </w:t>
      </w:r>
      <w:r w:rsidR="00132032">
        <w:rPr>
          <w:rFonts w:cstheme="minorHAnsi"/>
          <w:b/>
          <w:sz w:val="28"/>
          <w:szCs w:val="28"/>
        </w:rPr>
        <w:t xml:space="preserve">He however, took a wrong course of action.  It </w:t>
      </w:r>
      <w:r w:rsidR="00132032">
        <w:rPr>
          <w:rFonts w:cstheme="minorHAnsi"/>
          <w:b/>
          <w:sz w:val="28"/>
          <w:szCs w:val="28"/>
        </w:rPr>
        <w:lastRenderedPageBreak/>
        <w:t>was a wrong decision.  The appellant was thereby lock, stick and barred boun</w:t>
      </w:r>
      <w:r w:rsidR="008B7ABF">
        <w:rPr>
          <w:rFonts w:cstheme="minorHAnsi"/>
          <w:b/>
          <w:sz w:val="28"/>
          <w:szCs w:val="28"/>
        </w:rPr>
        <w:t>d.  It would indeed be absurd or</w:t>
      </w:r>
      <w:r w:rsidR="00132032">
        <w:rPr>
          <w:rFonts w:cstheme="minorHAnsi"/>
          <w:b/>
          <w:sz w:val="28"/>
          <w:szCs w:val="28"/>
        </w:rPr>
        <w:t xml:space="preserve"> ridiculous that every time an advocate takes a wrong step, thereby losing the case, his client could seek to be exonerated.  This is not what litigation is all about….”</w:t>
      </w:r>
    </w:p>
    <w:p w:rsidR="00132032" w:rsidRDefault="00132032" w:rsidP="00132032">
      <w:pPr>
        <w:rPr>
          <w:rFonts w:cstheme="minorHAnsi"/>
          <w:sz w:val="28"/>
          <w:szCs w:val="28"/>
        </w:rPr>
      </w:pPr>
      <w:r w:rsidRPr="00132032">
        <w:rPr>
          <w:rFonts w:cstheme="minorHAnsi"/>
          <w:sz w:val="28"/>
          <w:szCs w:val="28"/>
        </w:rPr>
        <w:t>Under</w:t>
      </w:r>
      <w:r>
        <w:rPr>
          <w:rFonts w:cstheme="minorHAnsi"/>
          <w:sz w:val="28"/>
          <w:szCs w:val="28"/>
        </w:rPr>
        <w:t xml:space="preserve"> paragraph 6 of the affidavit in support of this application, the deponent states</w:t>
      </w:r>
    </w:p>
    <w:p w:rsidR="00132032" w:rsidRPr="00132032" w:rsidRDefault="00132032" w:rsidP="00132032">
      <w:pPr>
        <w:ind w:left="720"/>
        <w:rPr>
          <w:rFonts w:cstheme="minorHAnsi"/>
          <w:b/>
          <w:sz w:val="28"/>
          <w:szCs w:val="28"/>
        </w:rPr>
      </w:pPr>
      <w:r>
        <w:rPr>
          <w:rFonts w:cstheme="minorHAnsi"/>
          <w:sz w:val="28"/>
          <w:szCs w:val="28"/>
        </w:rPr>
        <w:t>“</w:t>
      </w:r>
      <w:r>
        <w:rPr>
          <w:rFonts w:cstheme="minorHAnsi"/>
          <w:b/>
          <w:sz w:val="28"/>
          <w:szCs w:val="28"/>
        </w:rPr>
        <w:t xml:space="preserve">6. That, on the assumption that court would take the above request into consideration, I did not take further efforts or steps to lodge a formal application to move this Honorable Court to set aside the order granting the respondent/claimant to proceed exparte.” </w:t>
      </w:r>
    </w:p>
    <w:p w:rsidR="00132032" w:rsidRDefault="00132032" w:rsidP="00132032">
      <w:pPr>
        <w:rPr>
          <w:rFonts w:cstheme="minorHAnsi"/>
          <w:sz w:val="28"/>
          <w:szCs w:val="28"/>
        </w:rPr>
      </w:pPr>
      <w:r w:rsidRPr="00132032">
        <w:rPr>
          <w:rFonts w:cstheme="minorHAnsi"/>
          <w:sz w:val="28"/>
          <w:szCs w:val="28"/>
        </w:rPr>
        <w:t>Under</w:t>
      </w:r>
      <w:r>
        <w:rPr>
          <w:rFonts w:cstheme="minorHAnsi"/>
          <w:sz w:val="28"/>
          <w:szCs w:val="28"/>
        </w:rPr>
        <w:t xml:space="preserve"> paragraph 8 the same deponent states</w:t>
      </w:r>
    </w:p>
    <w:p w:rsidR="00132032" w:rsidRDefault="00132032" w:rsidP="00132032">
      <w:pPr>
        <w:ind w:left="720"/>
        <w:rPr>
          <w:rFonts w:cstheme="minorHAnsi"/>
          <w:sz w:val="28"/>
          <w:szCs w:val="28"/>
        </w:rPr>
      </w:pPr>
      <w:r>
        <w:rPr>
          <w:rFonts w:cstheme="minorHAnsi"/>
          <w:b/>
          <w:sz w:val="28"/>
          <w:szCs w:val="28"/>
        </w:rPr>
        <w:t>When the lockdown was lifted, I did not immediately follow upon</w:t>
      </w:r>
      <w:r w:rsidR="008B7ABF">
        <w:rPr>
          <w:rFonts w:cstheme="minorHAnsi"/>
          <w:b/>
          <w:sz w:val="28"/>
          <w:szCs w:val="28"/>
        </w:rPr>
        <w:t xml:space="preserve"> the matter and as a result it l</w:t>
      </w:r>
      <w:r>
        <w:rPr>
          <w:rFonts w:cstheme="minorHAnsi"/>
          <w:b/>
          <w:sz w:val="28"/>
          <w:szCs w:val="28"/>
        </w:rPr>
        <w:t>ost position.”</w:t>
      </w:r>
    </w:p>
    <w:p w:rsidR="00C3260D" w:rsidRDefault="00456E77" w:rsidP="00456E77">
      <w:pPr>
        <w:rPr>
          <w:rFonts w:cstheme="minorHAnsi"/>
          <w:sz w:val="28"/>
          <w:szCs w:val="28"/>
        </w:rPr>
      </w:pPr>
      <w:r>
        <w:rPr>
          <w:rFonts w:cstheme="minorHAnsi"/>
          <w:sz w:val="28"/>
          <w:szCs w:val="28"/>
        </w:rPr>
        <w:t>Surely, as the above case stipulates it would be an absurdity if given the above paragraphs in the affidavit, this court was to exonerate the claimant, his advocate having deliberately chosen to take a wrong step leading to</w:t>
      </w:r>
      <w:r w:rsidR="00392BFC">
        <w:rPr>
          <w:rFonts w:cstheme="minorHAnsi"/>
          <w:sz w:val="28"/>
          <w:szCs w:val="28"/>
        </w:rPr>
        <w:t xml:space="preserve"> maintaining</w:t>
      </w:r>
      <w:r>
        <w:rPr>
          <w:rFonts w:cstheme="minorHAnsi"/>
          <w:sz w:val="28"/>
          <w:szCs w:val="28"/>
        </w:rPr>
        <w:t xml:space="preserve"> exparte proceedings as a result of which he lost the case.</w:t>
      </w:r>
      <w:r w:rsidR="008B7ABF">
        <w:rPr>
          <w:rFonts w:cstheme="minorHAnsi"/>
          <w:sz w:val="28"/>
          <w:szCs w:val="28"/>
        </w:rPr>
        <w:t xml:space="preserve"> </w:t>
      </w:r>
      <w:r w:rsidR="00392BFC">
        <w:rPr>
          <w:rFonts w:cstheme="minorHAnsi"/>
          <w:sz w:val="28"/>
          <w:szCs w:val="28"/>
        </w:rPr>
        <w:t>Consequently, we</w:t>
      </w:r>
      <w:r>
        <w:rPr>
          <w:rFonts w:cstheme="minorHAnsi"/>
          <w:sz w:val="28"/>
          <w:szCs w:val="28"/>
        </w:rPr>
        <w:t xml:space="preserve"> have not found any sufficient cause to set aside our exparte Award.  The application is dismissed with no orders as to costs.</w:t>
      </w:r>
    </w:p>
    <w:p w:rsidR="001B3A1E" w:rsidRPr="0091145C" w:rsidRDefault="001B3A1E" w:rsidP="001B3A1E">
      <w:pPr>
        <w:spacing w:after="0" w:line="240" w:lineRule="auto"/>
        <w:ind w:left="90"/>
        <w:jc w:val="both"/>
        <w:rPr>
          <w:rFonts w:cstheme="minorHAnsi"/>
          <w:b/>
          <w:sz w:val="28"/>
          <w:szCs w:val="28"/>
          <w:u w:val="single"/>
        </w:rPr>
      </w:pPr>
      <w:r w:rsidRPr="0091145C">
        <w:rPr>
          <w:rFonts w:cstheme="minorHAnsi"/>
          <w:b/>
          <w:sz w:val="28"/>
          <w:szCs w:val="28"/>
          <w:u w:val="single"/>
        </w:rPr>
        <w:t>BEFORE</w:t>
      </w:r>
    </w:p>
    <w:p w:rsidR="006B4E87" w:rsidRPr="006B4E87" w:rsidRDefault="00392BFC" w:rsidP="001B3A1E">
      <w:pPr>
        <w:pStyle w:val="ListParagraph"/>
        <w:numPr>
          <w:ilvl w:val="0"/>
          <w:numId w:val="7"/>
        </w:numPr>
        <w:spacing w:after="0" w:line="360" w:lineRule="auto"/>
        <w:rPr>
          <w:rFonts w:cstheme="minorHAnsi"/>
          <w:b/>
          <w:sz w:val="28"/>
          <w:szCs w:val="28"/>
        </w:rPr>
      </w:pPr>
      <w:r>
        <w:rPr>
          <w:rFonts w:cstheme="minorHAnsi"/>
          <w:sz w:val="28"/>
          <w:szCs w:val="28"/>
        </w:rPr>
        <w:t>Hon.</w:t>
      </w:r>
      <w:r w:rsidR="006B4E87">
        <w:rPr>
          <w:rFonts w:cstheme="minorHAnsi"/>
          <w:sz w:val="28"/>
          <w:szCs w:val="28"/>
        </w:rPr>
        <w:t xml:space="preserve"> </w:t>
      </w:r>
      <w:bookmarkStart w:id="0" w:name="_GoBack"/>
      <w:bookmarkEnd w:id="0"/>
      <w:r w:rsidR="00A0533A">
        <w:rPr>
          <w:rFonts w:cstheme="minorHAnsi"/>
          <w:sz w:val="28"/>
          <w:szCs w:val="28"/>
        </w:rPr>
        <w:t xml:space="preserve">Chief </w:t>
      </w:r>
      <w:r w:rsidR="00A0533A" w:rsidRPr="0091145C">
        <w:rPr>
          <w:rFonts w:cstheme="minorHAnsi"/>
          <w:sz w:val="28"/>
          <w:szCs w:val="28"/>
        </w:rPr>
        <w:t>Judge</w:t>
      </w:r>
      <w:r w:rsidR="001B3A1E" w:rsidRPr="0091145C">
        <w:rPr>
          <w:rFonts w:cstheme="minorHAnsi"/>
          <w:sz w:val="28"/>
          <w:szCs w:val="28"/>
        </w:rPr>
        <w:t xml:space="preserve"> </w:t>
      </w:r>
      <w:proofErr w:type="spellStart"/>
      <w:r w:rsidR="001B3A1E" w:rsidRPr="0091145C">
        <w:rPr>
          <w:rFonts w:cstheme="minorHAnsi"/>
          <w:sz w:val="28"/>
          <w:szCs w:val="28"/>
        </w:rPr>
        <w:t>Ruhinda</w:t>
      </w:r>
      <w:proofErr w:type="spellEnd"/>
      <w:r>
        <w:rPr>
          <w:rFonts w:cstheme="minorHAnsi"/>
          <w:sz w:val="28"/>
          <w:szCs w:val="28"/>
        </w:rPr>
        <w:t xml:space="preserve"> Asaph</w:t>
      </w:r>
      <w:r w:rsidR="006B4E87">
        <w:rPr>
          <w:rFonts w:cstheme="minorHAnsi"/>
          <w:sz w:val="28"/>
          <w:szCs w:val="28"/>
        </w:rPr>
        <w:t xml:space="preserve"> </w:t>
      </w:r>
      <w:proofErr w:type="spellStart"/>
      <w:r w:rsidR="006B4E87">
        <w:rPr>
          <w:rFonts w:cstheme="minorHAnsi"/>
          <w:sz w:val="28"/>
          <w:szCs w:val="28"/>
        </w:rPr>
        <w:t>Ntengye</w:t>
      </w:r>
      <w:proofErr w:type="spellEnd"/>
      <w:r w:rsidR="006B4E87">
        <w:rPr>
          <w:rFonts w:cstheme="minorHAnsi"/>
          <w:sz w:val="28"/>
          <w:szCs w:val="28"/>
        </w:rPr>
        <w:t>………………………………….</w:t>
      </w:r>
    </w:p>
    <w:p w:rsidR="001B3A1E" w:rsidRPr="0091145C" w:rsidRDefault="006B4E87" w:rsidP="001B3A1E">
      <w:pPr>
        <w:pStyle w:val="ListParagraph"/>
        <w:numPr>
          <w:ilvl w:val="0"/>
          <w:numId w:val="7"/>
        </w:numPr>
        <w:spacing w:after="0" w:line="360" w:lineRule="auto"/>
        <w:rPr>
          <w:rFonts w:cstheme="minorHAnsi"/>
          <w:b/>
          <w:sz w:val="28"/>
          <w:szCs w:val="28"/>
        </w:rPr>
      </w:pPr>
      <w:proofErr w:type="spellStart"/>
      <w:r>
        <w:rPr>
          <w:rFonts w:cstheme="minorHAnsi"/>
          <w:sz w:val="28"/>
          <w:szCs w:val="28"/>
        </w:rPr>
        <w:t>Hon.Lady</w:t>
      </w:r>
      <w:proofErr w:type="spellEnd"/>
      <w:r>
        <w:rPr>
          <w:rFonts w:cstheme="minorHAnsi"/>
          <w:sz w:val="28"/>
          <w:szCs w:val="28"/>
        </w:rPr>
        <w:t xml:space="preserve"> Judge Linda Lillian </w:t>
      </w:r>
      <w:proofErr w:type="spellStart"/>
      <w:r>
        <w:rPr>
          <w:rFonts w:cstheme="minorHAnsi"/>
          <w:sz w:val="28"/>
          <w:szCs w:val="28"/>
        </w:rPr>
        <w:t>Tumusiime</w:t>
      </w:r>
      <w:proofErr w:type="spellEnd"/>
      <w:r>
        <w:rPr>
          <w:rFonts w:cstheme="minorHAnsi"/>
          <w:sz w:val="28"/>
          <w:szCs w:val="28"/>
        </w:rPr>
        <w:t xml:space="preserve"> </w:t>
      </w:r>
      <w:proofErr w:type="spellStart"/>
      <w:r>
        <w:rPr>
          <w:rFonts w:cstheme="minorHAnsi"/>
          <w:sz w:val="28"/>
          <w:szCs w:val="28"/>
        </w:rPr>
        <w:t>Mugisha</w:t>
      </w:r>
      <w:proofErr w:type="spellEnd"/>
      <w:r>
        <w:rPr>
          <w:rFonts w:cstheme="minorHAnsi"/>
          <w:sz w:val="28"/>
          <w:szCs w:val="28"/>
        </w:rPr>
        <w:t>……………………………</w:t>
      </w:r>
      <w:r>
        <w:rPr>
          <w:rFonts w:cstheme="minorHAnsi"/>
          <w:sz w:val="28"/>
          <w:szCs w:val="28"/>
        </w:rPr>
        <w:tab/>
      </w:r>
      <w:r>
        <w:rPr>
          <w:rFonts w:cstheme="minorHAnsi"/>
          <w:sz w:val="28"/>
          <w:szCs w:val="28"/>
        </w:rPr>
        <w:tab/>
      </w:r>
    </w:p>
    <w:p w:rsidR="001B3A1E" w:rsidRPr="0091145C" w:rsidRDefault="001B3A1E" w:rsidP="00392BFC">
      <w:pPr>
        <w:spacing w:after="0" w:line="240" w:lineRule="auto"/>
        <w:jc w:val="both"/>
        <w:rPr>
          <w:rFonts w:cstheme="minorHAnsi"/>
          <w:b/>
          <w:sz w:val="28"/>
          <w:szCs w:val="28"/>
          <w:u w:val="single"/>
        </w:rPr>
      </w:pPr>
      <w:r w:rsidRPr="0091145C">
        <w:rPr>
          <w:rFonts w:cstheme="minorHAnsi"/>
          <w:b/>
          <w:sz w:val="28"/>
          <w:szCs w:val="28"/>
          <w:u w:val="single"/>
        </w:rPr>
        <w:t>PANELISTS</w:t>
      </w:r>
    </w:p>
    <w:p w:rsidR="001B3A1E" w:rsidRPr="0091145C" w:rsidRDefault="001B3A1E" w:rsidP="001B3A1E">
      <w:pPr>
        <w:pStyle w:val="ListParagraph"/>
        <w:numPr>
          <w:ilvl w:val="0"/>
          <w:numId w:val="6"/>
        </w:numPr>
        <w:spacing w:after="0" w:line="360" w:lineRule="auto"/>
        <w:rPr>
          <w:rFonts w:cstheme="minorHAnsi"/>
          <w:b/>
          <w:sz w:val="28"/>
          <w:szCs w:val="28"/>
        </w:rPr>
      </w:pPr>
      <w:r w:rsidRPr="0091145C">
        <w:rPr>
          <w:rFonts w:cstheme="minorHAnsi"/>
          <w:sz w:val="28"/>
          <w:szCs w:val="28"/>
        </w:rPr>
        <w:t xml:space="preserve">Mr. </w:t>
      </w:r>
      <w:proofErr w:type="spellStart"/>
      <w:r w:rsidRPr="0091145C">
        <w:rPr>
          <w:rFonts w:cstheme="minorHAnsi"/>
          <w:sz w:val="28"/>
          <w:szCs w:val="28"/>
        </w:rPr>
        <w:t>Rwomushana</w:t>
      </w:r>
      <w:proofErr w:type="spellEnd"/>
      <w:r w:rsidRPr="0091145C">
        <w:rPr>
          <w:rFonts w:cstheme="minorHAnsi"/>
          <w:sz w:val="28"/>
          <w:szCs w:val="28"/>
        </w:rPr>
        <w:t xml:space="preserve"> Reuben Jack</w:t>
      </w:r>
      <w:r>
        <w:rPr>
          <w:rFonts w:cstheme="minorHAnsi"/>
          <w:sz w:val="28"/>
          <w:szCs w:val="28"/>
        </w:rPr>
        <w:tab/>
        <w:t>…………………………..</w:t>
      </w:r>
    </w:p>
    <w:p w:rsidR="001B3A1E" w:rsidRPr="0091145C" w:rsidRDefault="001B3A1E" w:rsidP="001B3A1E">
      <w:pPr>
        <w:pStyle w:val="ListParagraph"/>
        <w:numPr>
          <w:ilvl w:val="0"/>
          <w:numId w:val="6"/>
        </w:numPr>
        <w:spacing w:after="0" w:line="360" w:lineRule="auto"/>
        <w:rPr>
          <w:rFonts w:cstheme="minorHAnsi"/>
          <w:b/>
          <w:sz w:val="28"/>
          <w:szCs w:val="28"/>
        </w:rPr>
      </w:pPr>
      <w:r w:rsidRPr="0091145C">
        <w:rPr>
          <w:rFonts w:cstheme="minorHAnsi"/>
          <w:sz w:val="28"/>
          <w:szCs w:val="28"/>
        </w:rPr>
        <w:t xml:space="preserve">Ms. Rose </w:t>
      </w:r>
      <w:proofErr w:type="spellStart"/>
      <w:r w:rsidRPr="0091145C">
        <w:rPr>
          <w:rFonts w:cstheme="minorHAnsi"/>
          <w:sz w:val="28"/>
          <w:szCs w:val="28"/>
        </w:rPr>
        <w:t>Gidongo</w:t>
      </w:r>
      <w:proofErr w:type="spellEnd"/>
      <w:r>
        <w:rPr>
          <w:rFonts w:cstheme="minorHAnsi"/>
          <w:sz w:val="28"/>
          <w:szCs w:val="28"/>
        </w:rPr>
        <w:tab/>
      </w:r>
      <w:r>
        <w:rPr>
          <w:rFonts w:cstheme="minorHAnsi"/>
          <w:sz w:val="28"/>
          <w:szCs w:val="28"/>
        </w:rPr>
        <w:tab/>
      </w:r>
      <w:r>
        <w:rPr>
          <w:rFonts w:cstheme="minorHAnsi"/>
          <w:sz w:val="28"/>
          <w:szCs w:val="28"/>
        </w:rPr>
        <w:tab/>
        <w:t>…………………………..</w:t>
      </w:r>
    </w:p>
    <w:p w:rsidR="001B3A1E" w:rsidRPr="0091145C" w:rsidRDefault="001B3A1E" w:rsidP="001B3A1E">
      <w:pPr>
        <w:pStyle w:val="ListParagraph"/>
        <w:numPr>
          <w:ilvl w:val="0"/>
          <w:numId w:val="6"/>
        </w:numPr>
        <w:spacing w:after="0" w:line="360" w:lineRule="auto"/>
        <w:rPr>
          <w:rFonts w:cstheme="minorHAnsi"/>
          <w:b/>
          <w:sz w:val="28"/>
          <w:szCs w:val="28"/>
        </w:rPr>
      </w:pPr>
      <w:r w:rsidRPr="0091145C">
        <w:rPr>
          <w:rFonts w:cstheme="minorHAnsi"/>
          <w:sz w:val="28"/>
          <w:szCs w:val="28"/>
        </w:rPr>
        <w:t xml:space="preserve">Ms. Beatrice </w:t>
      </w:r>
      <w:proofErr w:type="spellStart"/>
      <w:r w:rsidRPr="0091145C">
        <w:rPr>
          <w:rFonts w:cstheme="minorHAnsi"/>
          <w:sz w:val="28"/>
          <w:szCs w:val="28"/>
        </w:rPr>
        <w:t>Aciro</w:t>
      </w:r>
      <w:proofErr w:type="spellEnd"/>
      <w:r w:rsidRPr="0091145C">
        <w:rPr>
          <w:rFonts w:cstheme="minorHAnsi"/>
          <w:sz w:val="28"/>
          <w:szCs w:val="28"/>
        </w:rPr>
        <w:t xml:space="preserve"> </w:t>
      </w:r>
      <w:proofErr w:type="spellStart"/>
      <w:r w:rsidRPr="0091145C">
        <w:rPr>
          <w:rFonts w:cstheme="minorHAnsi"/>
          <w:sz w:val="28"/>
          <w:szCs w:val="28"/>
        </w:rPr>
        <w:t>Okeny</w:t>
      </w:r>
      <w:proofErr w:type="spellEnd"/>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1B3A1E" w:rsidRPr="0046411A" w:rsidRDefault="001B3A1E" w:rsidP="00456E77">
      <w:pPr>
        <w:rPr>
          <w:rFonts w:cstheme="minorHAnsi"/>
          <w:sz w:val="28"/>
          <w:szCs w:val="28"/>
        </w:rPr>
      </w:pPr>
      <w:r>
        <w:rPr>
          <w:rFonts w:cstheme="minorHAnsi"/>
          <w:sz w:val="28"/>
          <w:szCs w:val="28"/>
        </w:rPr>
        <w:t>Dated:  3</w:t>
      </w:r>
      <w:r w:rsidRPr="001B3A1E">
        <w:rPr>
          <w:rFonts w:cstheme="minorHAnsi"/>
          <w:sz w:val="28"/>
          <w:szCs w:val="28"/>
          <w:vertAlign w:val="superscript"/>
        </w:rPr>
        <w:t>rd</w:t>
      </w:r>
      <w:r w:rsidR="00392BFC">
        <w:rPr>
          <w:rFonts w:cstheme="minorHAnsi"/>
          <w:sz w:val="28"/>
          <w:szCs w:val="28"/>
        </w:rPr>
        <w:t xml:space="preserve"> September 202</w:t>
      </w:r>
      <w:r w:rsidR="00F6049A">
        <w:rPr>
          <w:rFonts w:cstheme="minorHAnsi"/>
          <w:sz w:val="28"/>
          <w:szCs w:val="28"/>
        </w:rPr>
        <w:t>1</w:t>
      </w:r>
    </w:p>
    <w:sectPr w:rsidR="001B3A1E" w:rsidRPr="004641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D4" w:rsidRDefault="00CF00D4" w:rsidP="00551E5C">
      <w:pPr>
        <w:spacing w:after="0" w:line="240" w:lineRule="auto"/>
      </w:pPr>
      <w:r>
        <w:separator/>
      </w:r>
    </w:p>
  </w:endnote>
  <w:endnote w:type="continuationSeparator" w:id="0">
    <w:p w:rsidR="00CF00D4" w:rsidRDefault="00CF00D4" w:rsidP="0055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D4" w:rsidRDefault="00CF00D4" w:rsidP="00551E5C">
      <w:pPr>
        <w:spacing w:after="0" w:line="240" w:lineRule="auto"/>
      </w:pPr>
      <w:r>
        <w:separator/>
      </w:r>
    </w:p>
  </w:footnote>
  <w:footnote w:type="continuationSeparator" w:id="0">
    <w:p w:rsidR="00CF00D4" w:rsidRDefault="00CF00D4" w:rsidP="0055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53244"/>
      <w:docPartObj>
        <w:docPartGallery w:val="Page Numbers (Top of Page)"/>
        <w:docPartUnique/>
      </w:docPartObj>
    </w:sdtPr>
    <w:sdtEndPr>
      <w:rPr>
        <w:noProof/>
      </w:rPr>
    </w:sdtEndPr>
    <w:sdtContent>
      <w:p w:rsidR="00551E5C" w:rsidRDefault="00551E5C">
        <w:pPr>
          <w:pStyle w:val="Header"/>
          <w:jc w:val="center"/>
        </w:pPr>
        <w:r>
          <w:fldChar w:fldCharType="begin"/>
        </w:r>
        <w:r>
          <w:instrText xml:space="preserve"> PAGE   \* MERGEFORMAT </w:instrText>
        </w:r>
        <w:r>
          <w:fldChar w:fldCharType="separate"/>
        </w:r>
        <w:r w:rsidR="00A0533A">
          <w:rPr>
            <w:noProof/>
          </w:rPr>
          <w:t>6</w:t>
        </w:r>
        <w:r>
          <w:rPr>
            <w:noProof/>
          </w:rPr>
          <w:fldChar w:fldCharType="end"/>
        </w:r>
      </w:p>
    </w:sdtContent>
  </w:sdt>
  <w:p w:rsidR="00551E5C" w:rsidRDefault="00551E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EC6465"/>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DE5CA5"/>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A423569"/>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5C"/>
    <w:rsid w:val="000A7797"/>
    <w:rsid w:val="000F280D"/>
    <w:rsid w:val="00132032"/>
    <w:rsid w:val="00182138"/>
    <w:rsid w:val="00184B22"/>
    <w:rsid w:val="001B3A1E"/>
    <w:rsid w:val="001B538C"/>
    <w:rsid w:val="00274578"/>
    <w:rsid w:val="002838D2"/>
    <w:rsid w:val="002C7028"/>
    <w:rsid w:val="003022D0"/>
    <w:rsid w:val="00333668"/>
    <w:rsid w:val="00360723"/>
    <w:rsid w:val="00392BFC"/>
    <w:rsid w:val="003F7E04"/>
    <w:rsid w:val="00422261"/>
    <w:rsid w:val="00456E77"/>
    <w:rsid w:val="0046411A"/>
    <w:rsid w:val="00474947"/>
    <w:rsid w:val="00502911"/>
    <w:rsid w:val="005210DC"/>
    <w:rsid w:val="00551E5C"/>
    <w:rsid w:val="00566C5F"/>
    <w:rsid w:val="00612381"/>
    <w:rsid w:val="00613386"/>
    <w:rsid w:val="0063225A"/>
    <w:rsid w:val="00693832"/>
    <w:rsid w:val="006B4E87"/>
    <w:rsid w:val="007255F5"/>
    <w:rsid w:val="007425DD"/>
    <w:rsid w:val="00794247"/>
    <w:rsid w:val="007C60E3"/>
    <w:rsid w:val="00816E80"/>
    <w:rsid w:val="00836A02"/>
    <w:rsid w:val="00850A13"/>
    <w:rsid w:val="008B7ABF"/>
    <w:rsid w:val="0091145C"/>
    <w:rsid w:val="00A026E3"/>
    <w:rsid w:val="00A0533A"/>
    <w:rsid w:val="00A254B7"/>
    <w:rsid w:val="00B2509E"/>
    <w:rsid w:val="00B438FC"/>
    <w:rsid w:val="00B97475"/>
    <w:rsid w:val="00BA117D"/>
    <w:rsid w:val="00C3260D"/>
    <w:rsid w:val="00C425A3"/>
    <w:rsid w:val="00CA5E0F"/>
    <w:rsid w:val="00CF00D4"/>
    <w:rsid w:val="00D119B7"/>
    <w:rsid w:val="00D41730"/>
    <w:rsid w:val="00E51D1B"/>
    <w:rsid w:val="00F6049A"/>
    <w:rsid w:val="00F62965"/>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F25A"/>
  <w15:chartTrackingRefBased/>
  <w15:docId w15:val="{44F90A63-0A41-4221-8BE7-C6C99D0C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5C"/>
    <w:pPr>
      <w:ind w:left="720"/>
      <w:contextualSpacing/>
    </w:pPr>
  </w:style>
  <w:style w:type="paragraph" w:styleId="BalloonText">
    <w:name w:val="Balloon Text"/>
    <w:basedOn w:val="Normal"/>
    <w:link w:val="BalloonTextChar"/>
    <w:uiPriority w:val="99"/>
    <w:semiHidden/>
    <w:unhideWhenUsed/>
    <w:rsid w:val="0055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5C"/>
    <w:rPr>
      <w:rFonts w:ascii="Segoe UI" w:eastAsiaTheme="minorEastAsia" w:hAnsi="Segoe UI" w:cs="Segoe UI"/>
      <w:sz w:val="18"/>
      <w:szCs w:val="18"/>
    </w:rPr>
  </w:style>
  <w:style w:type="paragraph" w:styleId="Header">
    <w:name w:val="header"/>
    <w:basedOn w:val="Normal"/>
    <w:link w:val="HeaderChar"/>
    <w:uiPriority w:val="99"/>
    <w:unhideWhenUsed/>
    <w:rsid w:val="0055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5C"/>
    <w:rPr>
      <w:rFonts w:eastAsiaTheme="minorEastAsia"/>
    </w:rPr>
  </w:style>
  <w:style w:type="paragraph" w:styleId="Footer">
    <w:name w:val="footer"/>
    <w:basedOn w:val="Normal"/>
    <w:link w:val="FooterChar"/>
    <w:uiPriority w:val="99"/>
    <w:unhideWhenUsed/>
    <w:rsid w:val="0055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5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25</cp:revision>
  <cp:lastPrinted>2021-09-02T08:34:00Z</cp:lastPrinted>
  <dcterms:created xsi:type="dcterms:W3CDTF">2021-09-01T05:09:00Z</dcterms:created>
  <dcterms:modified xsi:type="dcterms:W3CDTF">2021-09-03T05:59:00Z</dcterms:modified>
</cp:coreProperties>
</file>